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2B4BA4" w:rsidRDefault="00A7407D">
      <w:pPr>
        <w:rPr>
          <w:rFonts w:ascii="ITC New Baskerville Std" w:hAnsi="ITC New Baskerville Std"/>
        </w:rPr>
      </w:pPr>
    </w:p>
    <w:p w:rsidR="0098653E" w:rsidRPr="002B4BA4" w:rsidRDefault="0098653E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2C469B" w:rsidRPr="00CB67C4" w:rsidRDefault="002C469B">
      <w:pPr>
        <w:rPr>
          <w:noProof/>
          <w:lang w:eastAsia="gl-ES"/>
        </w:rPr>
      </w:pPr>
    </w:p>
    <w:p w:rsidR="00442A24" w:rsidRPr="00CB67C4" w:rsidRDefault="00442A24" w:rsidP="00442A24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CB67C4">
        <w:rPr>
          <w:rFonts w:ascii="ITC New Baskerville Std" w:hAnsi="ITC New Baskerville Std"/>
          <w:b/>
          <w:sz w:val="20"/>
          <w:szCs w:val="20"/>
        </w:rPr>
        <w:t>MANUAL DE PROCEDEMENTOS DE CALIDADE</w:t>
      </w:r>
    </w:p>
    <w:p w:rsidR="00442A24" w:rsidRPr="00CB67C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442A24" w:rsidRPr="00CB67C4" w:rsidRDefault="00442A24" w:rsidP="00442A24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CB67C4">
        <w:rPr>
          <w:rFonts w:ascii="ITC New Baskerville Std" w:hAnsi="ITC New Baskerville Std"/>
          <w:sz w:val="36"/>
          <w:szCs w:val="36"/>
        </w:rPr>
        <w:t>P</w:t>
      </w:r>
      <w:r w:rsidRPr="00CB67C4">
        <w:rPr>
          <w:rFonts w:ascii="ITC New Baskerville Std" w:hAnsi="ITC New Baskerville Std"/>
          <w:sz w:val="24"/>
          <w:szCs w:val="24"/>
        </w:rPr>
        <w:t>ROCEDEMENTO</w:t>
      </w:r>
    </w:p>
    <w:p w:rsidR="00442A24" w:rsidRPr="00CB67C4" w:rsidRDefault="00A56F92" w:rsidP="00442A24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  <w:r w:rsidRPr="00CB67C4">
        <w:rPr>
          <w:rFonts w:ascii="ITC New Baskerville Std" w:hAnsi="ITC New Baskerville Std"/>
          <w:sz w:val="56"/>
          <w:szCs w:val="52"/>
        </w:rPr>
        <w:t>Xestión das queixas, suxestión</w:t>
      </w:r>
      <w:bookmarkStart w:id="0" w:name="_GoBack"/>
      <w:bookmarkEnd w:id="0"/>
      <w:r w:rsidRPr="00CB67C4">
        <w:rPr>
          <w:rFonts w:ascii="ITC New Baskerville Std" w:hAnsi="ITC New Baskerville Std"/>
          <w:sz w:val="56"/>
          <w:szCs w:val="52"/>
        </w:rPr>
        <w:t>s e parabéns</w:t>
      </w:r>
    </w:p>
    <w:p w:rsidR="00442A24" w:rsidRPr="00CB67C4" w:rsidRDefault="00442A24" w:rsidP="00442A24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CB67C4">
        <w:rPr>
          <w:rFonts w:ascii="ITC New Baskerville Std" w:hAnsi="ITC New Baskerville Std"/>
          <w:sz w:val="30"/>
          <w:szCs w:val="36"/>
        </w:rPr>
        <w:t>C</w:t>
      </w:r>
      <w:r w:rsidRPr="00CB67C4">
        <w:rPr>
          <w:rFonts w:ascii="ITC New Baskerville Std" w:hAnsi="ITC New Baskerville Std"/>
          <w:sz w:val="30"/>
          <w:szCs w:val="24"/>
        </w:rPr>
        <w:t>ÓDIGO</w:t>
      </w:r>
      <w:r w:rsidRPr="00CB67C4">
        <w:rPr>
          <w:rFonts w:ascii="ITC New Baskerville Std" w:hAnsi="ITC New Baskerville Std"/>
          <w:sz w:val="30"/>
          <w:szCs w:val="36"/>
        </w:rPr>
        <w:t xml:space="preserve"> </w:t>
      </w:r>
      <w:r w:rsidR="00A56F92" w:rsidRPr="00CB67C4">
        <w:rPr>
          <w:rFonts w:ascii="ITC New Baskerville Std" w:hAnsi="ITC New Baskerville Std"/>
          <w:sz w:val="30"/>
          <w:szCs w:val="48"/>
        </w:rPr>
        <w:t>MC</w:t>
      </w:r>
      <w:r w:rsidRPr="00CB67C4">
        <w:rPr>
          <w:rFonts w:ascii="ITC New Baskerville Std" w:hAnsi="ITC New Baskerville Std"/>
          <w:sz w:val="30"/>
          <w:szCs w:val="48"/>
        </w:rPr>
        <w:t>-0</w:t>
      </w:r>
      <w:r w:rsidR="00A56F92" w:rsidRPr="00CB67C4">
        <w:rPr>
          <w:rFonts w:ascii="ITC New Baskerville Std" w:hAnsi="ITC New Baskerville Std"/>
          <w:sz w:val="30"/>
          <w:szCs w:val="48"/>
        </w:rPr>
        <w:t>2</w:t>
      </w:r>
      <w:r w:rsidRPr="00CB67C4">
        <w:rPr>
          <w:rFonts w:ascii="ITC New Baskerville Std" w:hAnsi="ITC New Baskerville Std"/>
          <w:sz w:val="30"/>
          <w:szCs w:val="48"/>
        </w:rPr>
        <w:t xml:space="preserve"> P1    </w:t>
      </w:r>
      <w:r w:rsidRPr="00CB67C4">
        <w:rPr>
          <w:rFonts w:ascii="ITC New Baskerville Std" w:hAnsi="ITC New Baskerville Std"/>
          <w:sz w:val="30"/>
          <w:szCs w:val="36"/>
        </w:rPr>
        <w:t>Í</w:t>
      </w:r>
      <w:r w:rsidRPr="00CB67C4">
        <w:rPr>
          <w:rFonts w:ascii="ITC New Baskerville Std" w:hAnsi="ITC New Baskerville Std"/>
          <w:sz w:val="30"/>
          <w:szCs w:val="24"/>
        </w:rPr>
        <w:t>NDICE</w:t>
      </w:r>
      <w:r w:rsidRPr="00CB67C4">
        <w:rPr>
          <w:rFonts w:ascii="ITC New Baskerville Std" w:hAnsi="ITC New Baskerville Std"/>
          <w:sz w:val="30"/>
          <w:szCs w:val="36"/>
        </w:rPr>
        <w:t xml:space="preserve"> </w:t>
      </w:r>
      <w:r w:rsidRPr="00CB67C4">
        <w:rPr>
          <w:rFonts w:ascii="ITC New Baskerville Std" w:hAnsi="ITC New Baskerville Std"/>
          <w:sz w:val="30"/>
          <w:szCs w:val="48"/>
        </w:rPr>
        <w:t>0</w:t>
      </w:r>
      <w:r w:rsidR="00291D62" w:rsidRPr="00CB67C4">
        <w:rPr>
          <w:rFonts w:ascii="ITC New Baskerville Std" w:hAnsi="ITC New Baskerville Std"/>
          <w:sz w:val="30"/>
          <w:szCs w:val="48"/>
        </w:rPr>
        <w:t>4</w:t>
      </w:r>
    </w:p>
    <w:p w:rsidR="00442A24" w:rsidRPr="00CB67C4" w:rsidRDefault="00442A24" w:rsidP="00442A24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CB67C4" w:rsidTr="00DD2DFD">
        <w:trPr>
          <w:trHeight w:val="335"/>
        </w:trPr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CB67C4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CB67C4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CB67C4" w:rsidRDefault="00442A24" w:rsidP="00DD2DFD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CB67C4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442A24" w:rsidRPr="00CB67C4" w:rsidTr="00DD2DFD">
        <w:trPr>
          <w:trHeight w:val="454"/>
        </w:trPr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CB67C4">
              <w:rPr>
                <w:rFonts w:ascii="ITC New Baskerville Std" w:hAnsi="ITC New Baskerville Std"/>
                <w:lang w:val="gl-ES"/>
              </w:rPr>
              <w:t>Área de Apoio á Docencia e Calidad</w:t>
            </w:r>
            <w:r w:rsidR="00094E2D" w:rsidRPr="00CB67C4">
              <w:rPr>
                <w:rFonts w:ascii="ITC New Baskerville Std" w:hAnsi="ITC New Baskerville Std"/>
                <w:lang w:val="gl-ES"/>
              </w:rPr>
              <w:t>e</w:t>
            </w:r>
          </w:p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CB67C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CB67C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094E2D" w:rsidRPr="00CB67C4" w:rsidRDefault="00094E2D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CB67C4" w:rsidRDefault="003E15B1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CB67C4">
              <w:rPr>
                <w:rFonts w:ascii="ITC New Baskerville Std" w:hAnsi="ITC New Baskerville Std"/>
                <w:lang w:val="gl-ES"/>
              </w:rPr>
              <w:t>Comisión de Garantía de Calidade</w:t>
            </w:r>
          </w:p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CB67C4" w:rsidRDefault="00442A24" w:rsidP="00DD2DFD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442A24" w:rsidRPr="00CB67C4" w:rsidRDefault="003E15B1" w:rsidP="005644B3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CB67C4">
              <w:rPr>
                <w:rFonts w:ascii="ITC New Baskerville Std" w:hAnsi="ITC New Baskerville Std"/>
                <w:lang w:val="gl-ES"/>
              </w:rPr>
              <w:t xml:space="preserve">Xunta de </w:t>
            </w:r>
            <w:r w:rsidR="005644B3" w:rsidRPr="00CB67C4">
              <w:rPr>
                <w:rFonts w:ascii="ITC New Baskerville Std" w:hAnsi="ITC New Baskerville Std"/>
                <w:lang w:val="gl-ES"/>
              </w:rPr>
              <w:t>centro</w:t>
            </w:r>
          </w:p>
        </w:tc>
      </w:tr>
      <w:tr w:rsidR="00442A24" w:rsidRPr="00CB67C4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:rsidR="00442A24" w:rsidRPr="00CB67C4" w:rsidRDefault="00442A24" w:rsidP="00094E2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>D</w:t>
            </w:r>
            <w:r w:rsidR="00094E2D" w:rsidRPr="00CB67C4">
              <w:rPr>
                <w:rFonts w:ascii="ITC New Baskerville Std" w:hAnsi="ITC New Baskerville Std" w:cstheme="minorHAnsi"/>
              </w:rPr>
              <w:t>ata e sinatura</w:t>
            </w:r>
          </w:p>
        </w:tc>
        <w:tc>
          <w:tcPr>
            <w:tcW w:w="330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442A24" w:rsidRPr="00CB67C4" w:rsidRDefault="00094E2D" w:rsidP="00DD2DFD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442A24" w:rsidRPr="00CB67C4" w:rsidRDefault="00094E2D" w:rsidP="00DD2DFD">
            <w:pPr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 xml:space="preserve">Data e sinatura </w:t>
            </w: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  <w:r w:rsidRPr="00CB67C4">
              <w:rPr>
                <w:rFonts w:ascii="ITC New Baskerville Std" w:hAnsi="ITC New Baskerville Std" w:cstheme="minorHAnsi"/>
              </w:rPr>
              <w:t>fffffff</w:t>
            </w:r>
          </w:p>
          <w:p w:rsidR="00442A24" w:rsidRPr="00CB67C4" w:rsidRDefault="00442A24" w:rsidP="00DD2DFD">
            <w:pPr>
              <w:rPr>
                <w:rFonts w:ascii="ITC New Baskerville Std" w:hAnsi="ITC New Baskerville Std" w:cstheme="minorHAnsi"/>
              </w:rPr>
            </w:pPr>
          </w:p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</w:p>
        </w:tc>
      </w:tr>
    </w:tbl>
    <w:p w:rsidR="00442A24" w:rsidRPr="00CB67C4" w:rsidRDefault="00442A24" w:rsidP="00442A24">
      <w:pPr>
        <w:jc w:val="center"/>
        <w:rPr>
          <w:rFonts w:ascii="ITC New Baskerville Std" w:hAnsi="ITC New Baskerville Std"/>
        </w:rPr>
      </w:pPr>
    </w:p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jc w:val="center"/>
        <w:rPr>
          <w:rFonts w:ascii="ITC New Baskerville Std" w:hAnsi="ITC New Baskerville Std"/>
        </w:rPr>
        <w:sectPr w:rsidR="00442A24" w:rsidRPr="00CB67C4" w:rsidSect="00DD2DFD">
          <w:headerReference w:type="default" r:id="rId8"/>
          <w:footerReference w:type="default" r:id="rId9"/>
          <w:pgSz w:w="11906" w:h="16838"/>
          <w:pgMar w:top="1417" w:right="1416" w:bottom="851" w:left="1560" w:header="708" w:footer="2197" w:gutter="0"/>
          <w:cols w:space="708"/>
          <w:docGrid w:linePitch="360"/>
        </w:sectPr>
      </w:pPr>
    </w:p>
    <w:p w:rsidR="00442A24" w:rsidRPr="00CB67C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CB67C4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E05D14" w:rsidRPr="00CB67C4" w:rsidRDefault="00E05D14" w:rsidP="00E05D14">
      <w:pPr>
        <w:rPr>
          <w:rFonts w:ascii="ITC New Baskerville Std" w:hAnsi="ITC New Baskerville Std" w:cs="Times New Roman"/>
        </w:rPr>
      </w:pPr>
      <w:r w:rsidRPr="00CB67C4">
        <w:rPr>
          <w:rFonts w:ascii="ITC New Baskerville Std" w:hAnsi="ITC New Baskerville Std"/>
        </w:rPr>
        <w:t>Xestión da calidade e mellora continua.</w:t>
      </w:r>
    </w:p>
    <w:p w:rsidR="00442A24" w:rsidRPr="00CB67C4" w:rsidRDefault="00442A24" w:rsidP="00442A24">
      <w:pPr>
        <w:ind w:left="-284"/>
        <w:rPr>
          <w:rFonts w:ascii="ITC New Baskerville Std" w:hAnsi="ITC New Baskerville Std"/>
          <w:b/>
        </w:rPr>
      </w:pPr>
    </w:p>
    <w:p w:rsidR="00442A24" w:rsidRPr="00CB67C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CB67C4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9"/>
        <w:gridCol w:w="1287"/>
        <w:gridCol w:w="18"/>
        <w:gridCol w:w="1916"/>
        <w:gridCol w:w="147"/>
        <w:gridCol w:w="5103"/>
        <w:gridCol w:w="131"/>
        <w:gridCol w:w="16"/>
      </w:tblGrid>
      <w:tr w:rsidR="00442A24" w:rsidRPr="00CB67C4" w:rsidTr="00DD2DFD">
        <w:tc>
          <w:tcPr>
            <w:tcW w:w="1008" w:type="dxa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ÍNDICE</w:t>
            </w: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gridSpan w:val="3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REDACCIÓN</w:t>
            </w:r>
          </w:p>
        </w:tc>
        <w:tc>
          <w:tcPr>
            <w:tcW w:w="5250" w:type="dxa"/>
            <w:gridSpan w:val="3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</w:rPr>
            </w:pPr>
            <w:r w:rsidRPr="00CB67C4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291D62" w:rsidRPr="00E13706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15/05/2008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Área de Calidade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A21A15" w:rsidP="00A21A15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Creación do procedemento (documentación marco) PA-04 </w:t>
            </w:r>
            <w:r w:rsidR="00E13706">
              <w:rPr>
                <w:rFonts w:ascii="Arial" w:hAnsi="Arial" w:cs="Arial"/>
                <w:sz w:val="18"/>
                <w:szCs w:val="18"/>
              </w:rPr>
              <w:t>«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Xestión e revisión de incidencias, reclamacións e suxestións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="00E13706">
              <w:rPr>
                <w:rFonts w:ascii="Arial" w:hAnsi="Arial" w:cs="Arial"/>
                <w:sz w:val="18"/>
                <w:szCs w:val="18"/>
              </w:rPr>
              <w:t>»</w:t>
            </w:r>
            <w:r w:rsidR="00E13706">
              <w:t xml:space="preserve"> </w:t>
            </w:r>
            <w:r w:rsidR="00E13706" w:rsidRPr="00E13706">
              <w:rPr>
                <w:rFonts w:ascii="ITC New Baskerville Std" w:hAnsi="ITC New Baskerville Std"/>
                <w:sz w:val="18"/>
                <w:szCs w:val="18"/>
              </w:rPr>
              <w:t xml:space="preserve">do SGIC dos centros. </w:t>
            </w:r>
          </w:p>
        </w:tc>
      </w:tr>
      <w:tr w:rsidR="00E13706" w:rsidRPr="0082330C" w:rsidTr="007762CA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E13706" w:rsidP="007762CA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00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E13706" w:rsidP="00E13706">
            <w:pPr>
              <w:rPr>
                <w:rFonts w:ascii="ITC New Baskerville Std" w:hAnsi="ITC New Baskerville Std"/>
                <w:sz w:val="18"/>
                <w:szCs w:val="18"/>
              </w:rPr>
            </w:pPr>
            <w:r>
              <w:rPr>
                <w:rFonts w:ascii="ITC New Baskerville Std" w:hAnsi="ITC New Baskerville Std"/>
                <w:sz w:val="18"/>
                <w:szCs w:val="18"/>
              </w:rPr>
              <w:t>01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>/0</w:t>
            </w:r>
            <w:r>
              <w:rPr>
                <w:rFonts w:ascii="ITC New Baskerville Std" w:hAnsi="ITC New Baskerville Std"/>
                <w:sz w:val="18"/>
                <w:szCs w:val="18"/>
              </w:rPr>
              <w:t>2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>/2010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E13706" w:rsidP="007762CA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Unidade de Estudos e Programas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13706" w:rsidRPr="0082330C" w:rsidRDefault="00E13706" w:rsidP="00E13706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Creación do procedemento MC0</w:t>
            </w:r>
            <w:r>
              <w:rPr>
                <w:rFonts w:ascii="ITC New Baskerville Std" w:hAnsi="ITC New Baskerville Std"/>
                <w:sz w:val="18"/>
                <w:szCs w:val="18"/>
              </w:rPr>
              <w:t>5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-PR01 « </w:t>
            </w:r>
            <w:r>
              <w:rPr>
                <w:rFonts w:ascii="ITC New Baskerville Std" w:hAnsi="ITC New Baskerville Std"/>
                <w:sz w:val="18"/>
                <w:szCs w:val="18"/>
              </w:rPr>
              <w:t>Xestión de queixas, suxestións e parabéns</w:t>
            </w:r>
            <w:r w:rsidRPr="0082330C">
              <w:rPr>
                <w:rFonts w:ascii="ITC New Baskerville Std" w:hAnsi="ITC New Baskerville Std"/>
                <w:sz w:val="18"/>
                <w:szCs w:val="18"/>
              </w:rPr>
              <w:t xml:space="preserve"> » do sistema de calidade do ámbito de xestión.</w:t>
            </w:r>
          </w:p>
        </w:tc>
      </w:tr>
      <w:tr w:rsidR="00291D62" w:rsidRPr="00E13706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01-03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2008-2011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C2616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Comisións de </w:t>
            </w:r>
            <w:r w:rsidR="009C2616" w:rsidRPr="00E13706">
              <w:rPr>
                <w:rFonts w:ascii="ITC New Baskerville Std" w:hAnsi="ITC New Baskerville Std"/>
                <w:sz w:val="18"/>
                <w:szCs w:val="18"/>
              </w:rPr>
              <w:t>g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arantía de </w:t>
            </w:r>
            <w:r w:rsidR="009C2616" w:rsidRPr="00E13706">
              <w:rPr>
                <w:rFonts w:ascii="ITC New Baskerville Std" w:hAnsi="ITC New Baskerville Std"/>
                <w:sz w:val="18"/>
                <w:szCs w:val="18"/>
              </w:rPr>
              <w:t>c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alidade dos </w:t>
            </w:r>
            <w:r w:rsidR="009C2616" w:rsidRPr="00E13706">
              <w:rPr>
                <w:rFonts w:ascii="ITC New Baskerville Std" w:hAnsi="ITC New Baskerville Std"/>
                <w:sz w:val="18"/>
                <w:szCs w:val="18"/>
              </w:rPr>
              <w:t>c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entros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E13706" w:rsidP="00291D62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82330C">
              <w:rPr>
                <w:rFonts w:ascii="ITC New Baskerville Std" w:hAnsi="ITC New Baskerville Std"/>
                <w:sz w:val="18"/>
                <w:szCs w:val="18"/>
              </w:rPr>
              <w:t>Intervalo de modificacións realizadas polos centros, no ámbito dos seus SGIC, baseadas fundamentalmente nas recomendacións establecidas nos informes de avaliación dos sistemas de calidade remitidos desde a ACSUG.</w:t>
            </w:r>
          </w:p>
        </w:tc>
      </w:tr>
      <w:tr w:rsidR="00291D62" w:rsidRPr="00E13706" w:rsidTr="00987501">
        <w:trPr>
          <w:gridAfter w:val="1"/>
          <w:wAfter w:w="16" w:type="dxa"/>
        </w:trPr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9C2616" w:rsidP="009C2616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03</w:t>
            </w:r>
            <w:r w:rsidR="00291D62" w:rsidRPr="00E13706">
              <w:rPr>
                <w:rFonts w:ascii="ITC New Baskerville Std" w:hAnsi="ITC New Baskerville Std"/>
                <w:sz w:val="18"/>
                <w:szCs w:val="18"/>
              </w:rPr>
              <w:t>/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11</w:t>
            </w:r>
            <w:r w:rsidR="00291D62" w:rsidRPr="00E13706">
              <w:rPr>
                <w:rFonts w:ascii="ITC New Baskerville Std" w:hAnsi="ITC New Baskerville Std"/>
                <w:sz w:val="18"/>
                <w:szCs w:val="18"/>
              </w:rPr>
              <w:t>/201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>4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987501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Raquel Gandón e</w:t>
            </w:r>
          </w:p>
          <w:p w:rsidR="00291D62" w:rsidRPr="00E13706" w:rsidRDefault="00291D62" w:rsidP="003A5322">
            <w:pPr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José Miguel </w:t>
            </w:r>
            <w:r w:rsidR="00744618" w:rsidRPr="00E13706">
              <w:rPr>
                <w:rFonts w:ascii="ITC New Baskerville Std" w:hAnsi="ITC New Baskerville Std"/>
                <w:sz w:val="18"/>
                <w:szCs w:val="18"/>
              </w:rPr>
              <w:t>Dorribo (Área de Apoi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o </w:t>
            </w:r>
            <w:r w:rsidR="003A5322" w:rsidRPr="00E13706">
              <w:rPr>
                <w:rFonts w:ascii="ITC New Baskerville Std" w:hAnsi="ITC New Baskerville Std"/>
                <w:sz w:val="18"/>
                <w:szCs w:val="18"/>
              </w:rPr>
              <w:t>á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 Docencia </w:t>
            </w:r>
            <w:r w:rsidR="00744618" w:rsidRPr="00E13706">
              <w:rPr>
                <w:rFonts w:ascii="ITC New Baskerville Std" w:hAnsi="ITC New Baskerville Std"/>
                <w:sz w:val="18"/>
                <w:szCs w:val="18"/>
              </w:rPr>
              <w:t>e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 Calidad</w:t>
            </w:r>
            <w:r w:rsidR="00744618" w:rsidRPr="00E13706">
              <w:rPr>
                <w:rFonts w:ascii="ITC New Baskerville Std" w:hAnsi="ITC New Baskerville Std"/>
                <w:sz w:val="18"/>
                <w:szCs w:val="18"/>
              </w:rPr>
              <w:t>e</w:t>
            </w:r>
            <w:r w:rsidR="009B530C" w:rsidRPr="00E13706">
              <w:rPr>
                <w:rFonts w:ascii="ITC New Baskerville Std" w:hAnsi="ITC New Baskerville Std"/>
                <w:sz w:val="18"/>
                <w:szCs w:val="18"/>
              </w:rPr>
              <w:t>)</w:t>
            </w: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1D62" w:rsidRPr="00E13706" w:rsidRDefault="00291D62" w:rsidP="00E13706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Evolución completa do procedemento: nova codificación, trama de redacción e estrutura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>;</w:t>
            </w:r>
            <w:r w:rsidR="003A5322" w:rsidRP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novos contidos</w:t>
            </w:r>
            <w:r w:rsidR="00A21A15" w:rsidRPr="00E13706">
              <w:rPr>
                <w:rFonts w:ascii="ITC New Baskerville Std" w:hAnsi="ITC New Baskerville Std"/>
                <w:sz w:val="18"/>
                <w:szCs w:val="18"/>
              </w:rPr>
              <w:t xml:space="preserve"> en relación ás queixas, suxestións e parabéns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.</w:t>
            </w:r>
          </w:p>
          <w:p w:rsidR="00E13706" w:rsidRDefault="00A21A15" w:rsidP="00E13706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Integra 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e substitúe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 xml:space="preserve">o procedemento </w:t>
            </w:r>
          </w:p>
          <w:p w:rsidR="00A21A15" w:rsidRDefault="00A21A15" w:rsidP="00E1370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MC05-PR01 «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Xestión de queixas, suxestións e parabéns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» do sistema de calidade no ámbito de xestión.</w:t>
            </w:r>
          </w:p>
          <w:p w:rsidR="00E13706" w:rsidRPr="00E13706" w:rsidRDefault="00E13706" w:rsidP="00E13706">
            <w:pPr>
              <w:pStyle w:val="Prrafodelista"/>
              <w:ind w:left="459"/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</w:p>
          <w:p w:rsidR="00744618" w:rsidRPr="00E13706" w:rsidRDefault="00A21A15" w:rsidP="00E13706">
            <w:pPr>
              <w:jc w:val="both"/>
              <w:rPr>
                <w:rFonts w:ascii="ITC New Baskerville Std" w:hAnsi="ITC New Baskerville Std"/>
                <w:sz w:val="18"/>
                <w:szCs w:val="18"/>
              </w:rPr>
            </w:pPr>
            <w:r w:rsidRPr="00E13706">
              <w:rPr>
                <w:rFonts w:ascii="ITC New Baskerville Std" w:hAnsi="ITC New Baskerville Std"/>
                <w:sz w:val="18"/>
                <w:szCs w:val="18"/>
              </w:rPr>
              <w:t>Modificación do título e código: pasa de PA04 a MC-02 P1 «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Xestión de queixas, suxestións e parabéns</w:t>
            </w:r>
            <w:r w:rsidR="00E13706">
              <w:rPr>
                <w:rFonts w:ascii="ITC New Baskerville Std" w:hAnsi="ITC New Baskerville Std"/>
                <w:sz w:val="18"/>
                <w:szCs w:val="18"/>
              </w:rPr>
              <w:t xml:space="preserve"> </w:t>
            </w:r>
            <w:r w:rsidRPr="00E13706">
              <w:rPr>
                <w:rFonts w:ascii="ITC New Baskerville Std" w:hAnsi="ITC New Baskerville Std"/>
                <w:sz w:val="18"/>
                <w:szCs w:val="18"/>
              </w:rPr>
              <w:t>».</w:t>
            </w:r>
          </w:p>
        </w:tc>
      </w:tr>
      <w:tr w:rsidR="00442A24" w:rsidRPr="00CB67C4" w:rsidTr="00DD2DFD">
        <w:trPr>
          <w:gridAfter w:val="2"/>
          <w:wAfter w:w="147" w:type="dxa"/>
        </w:trPr>
        <w:tc>
          <w:tcPr>
            <w:tcW w:w="1008" w:type="dxa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5250" w:type="dxa"/>
            <w:gridSpan w:val="2"/>
            <w:shd w:val="clear" w:color="auto" w:fill="FFFFFF" w:themeFill="background1"/>
            <w:vAlign w:val="center"/>
          </w:tcPr>
          <w:p w:rsidR="00442A24" w:rsidRPr="00CB67C4" w:rsidRDefault="00442A24" w:rsidP="00DD2DFD">
            <w:pPr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rPr>
          <w:rFonts w:ascii="ITC New Baskerville Std" w:hAnsi="ITC New Baskerville Std"/>
        </w:rPr>
      </w:pPr>
    </w:p>
    <w:p w:rsidR="00442A24" w:rsidRPr="00CB67C4" w:rsidRDefault="00442A24" w:rsidP="00442A24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CB67C4">
        <w:rPr>
          <w:rFonts w:ascii="ITC New Baskerville Std" w:hAnsi="ITC New Baskerville Std"/>
          <w:sz w:val="32"/>
          <w:szCs w:val="36"/>
        </w:rPr>
        <w:t>Í</w:t>
      </w:r>
      <w:r w:rsidRPr="00CB67C4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442A24" w:rsidRPr="00CB67C4" w:rsidRDefault="00442A24" w:rsidP="00442A2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DE5285" w:rsidRPr="00CB67C4" w:rsidRDefault="00442A24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r w:rsidRPr="00CB67C4">
            <w:rPr>
              <w:rFonts w:ascii="ITC New Baskerville Std" w:hAnsi="ITC New Baskerville Std"/>
            </w:rPr>
            <w:fldChar w:fldCharType="begin"/>
          </w:r>
          <w:r w:rsidRPr="00CB67C4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CB67C4">
            <w:rPr>
              <w:rFonts w:ascii="ITC New Baskerville Std" w:hAnsi="ITC New Baskerville Std"/>
            </w:rPr>
            <w:fldChar w:fldCharType="separate"/>
          </w:r>
          <w:hyperlink w:anchor="_Toc348607829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 OBXECTO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_Toc348607829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 w:rsidR="004D5897">
              <w:rPr>
                <w:noProof/>
                <w:webHidden/>
              </w:rPr>
              <w:t>3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4D58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II ALCANCE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_Toc348607830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4D58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_Toc348607831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4D58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_Toc348607832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DE5285" w:rsidRPr="00CB67C4" w:rsidRDefault="004D5897">
          <w:pPr>
            <w:pStyle w:val="TDC1"/>
            <w:tabs>
              <w:tab w:val="right" w:leader="dot" w:pos="9486"/>
            </w:tabs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CB67C4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DE5285" w:rsidRPr="00CB67C4">
              <w:rPr>
                <w:noProof/>
                <w:webHidden/>
              </w:rPr>
              <w:tab/>
            </w:r>
            <w:r w:rsidR="00DE5285" w:rsidRPr="00CB67C4">
              <w:rPr>
                <w:noProof/>
                <w:webHidden/>
              </w:rPr>
              <w:fldChar w:fldCharType="begin"/>
            </w:r>
            <w:r w:rsidR="00DE5285" w:rsidRPr="00CB67C4">
              <w:rPr>
                <w:noProof/>
                <w:webHidden/>
              </w:rPr>
              <w:instrText xml:space="preserve"> PAGEREF _Toc348607833 \h </w:instrText>
            </w:r>
            <w:r w:rsidR="00DE5285" w:rsidRPr="00CB67C4">
              <w:rPr>
                <w:noProof/>
                <w:webHidden/>
              </w:rPr>
            </w:r>
            <w:r w:rsidR="00DE5285" w:rsidRPr="00CB67C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E5285" w:rsidRPr="00CB67C4">
              <w:rPr>
                <w:noProof/>
                <w:webHidden/>
              </w:rPr>
              <w:fldChar w:fldCharType="end"/>
            </w:r>
          </w:hyperlink>
        </w:p>
        <w:p w:rsidR="00FB06A4" w:rsidRPr="00CB67C4" w:rsidRDefault="00442A24" w:rsidP="00DD2DFD">
          <w:pPr>
            <w:ind w:left="-284"/>
            <w:rPr>
              <w:rFonts w:ascii="ITC New Baskerville Std" w:hAnsi="ITC New Baskerville Std"/>
            </w:rPr>
          </w:pPr>
          <w:r w:rsidRPr="00CB67C4">
            <w:rPr>
              <w:rFonts w:ascii="ITC New Baskerville Std" w:hAnsi="ITC New Baskerville Std"/>
            </w:rPr>
            <w:fldChar w:fldCharType="end"/>
          </w:r>
        </w:p>
      </w:sdtContent>
    </w:sdt>
    <w:p w:rsidR="00DD2DFD" w:rsidRPr="00CB67C4" w:rsidRDefault="00DD2DFD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  <w:lang w:val="gl-ES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lang w:val="gl-ES"/>
        </w:rPr>
      </w:pPr>
      <w:bookmarkStart w:id="1" w:name="_Toc348607829"/>
      <w:r w:rsidRPr="00CB67C4">
        <w:rPr>
          <w:rFonts w:ascii="ITC New Baskerville Std" w:hAnsi="ITC New Baskerville Std"/>
          <w:b w:val="0"/>
          <w:lang w:val="gl-ES"/>
        </w:rPr>
        <w:lastRenderedPageBreak/>
        <w:t>I OBXECTO</w:t>
      </w:r>
      <w:bookmarkEnd w:id="1"/>
    </w:p>
    <w:p w:rsidR="00442A24" w:rsidRPr="00CB67C4" w:rsidRDefault="00442A24" w:rsidP="00442A24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AD522F" w:rsidRPr="00CB67C4" w:rsidRDefault="00A21A15" w:rsidP="00A21A1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Definir a metodoloxía que permite realizar, dun modo estruturado, a xestión (presentación, recolli</w:t>
      </w:r>
      <w:r w:rsidR="0087526E" w:rsidRPr="00CB67C4">
        <w:rPr>
          <w:rFonts w:ascii="ITC New Baskerville Std" w:hAnsi="ITC New Baskerville Std"/>
          <w:sz w:val="20"/>
          <w:szCs w:val="20"/>
        </w:rPr>
        <w:t>d</w:t>
      </w:r>
      <w:r w:rsidRPr="00CB67C4">
        <w:rPr>
          <w:rFonts w:ascii="ITC New Baskerville Std" w:hAnsi="ITC New Baskerville Std"/>
          <w:sz w:val="20"/>
          <w:szCs w:val="20"/>
        </w:rPr>
        <w:t>a, rexistro, transmisión ás persoas implicadas, análises, resposta e resolución) das queixas, suxestións e parabéns d</w:t>
      </w:r>
      <w:r w:rsidR="006375FF">
        <w:rPr>
          <w:rFonts w:ascii="ITC New Baskerville Std" w:hAnsi="ITC New Baskerville Std"/>
          <w:sz w:val="20"/>
          <w:szCs w:val="20"/>
        </w:rPr>
        <w:t>os</w:t>
      </w:r>
      <w:r w:rsidR="000B09DC">
        <w:rPr>
          <w:rFonts w:ascii="ITC New Baskerville Std" w:hAnsi="ITC New Baskerville Std"/>
          <w:sz w:val="20"/>
          <w:szCs w:val="20"/>
        </w:rPr>
        <w:t xml:space="preserve"> </w:t>
      </w:r>
      <w:r w:rsidRPr="00CB67C4">
        <w:rPr>
          <w:rFonts w:ascii="ITC New Baskerville Std" w:hAnsi="ITC New Baskerville Std"/>
          <w:sz w:val="20"/>
          <w:szCs w:val="20"/>
        </w:rPr>
        <w:t>usuarias</w:t>
      </w:r>
      <w:r w:rsidR="006375FF">
        <w:rPr>
          <w:rFonts w:ascii="ITC New Baskerville Std" w:hAnsi="ITC New Baskerville Std"/>
          <w:sz w:val="20"/>
          <w:szCs w:val="20"/>
        </w:rPr>
        <w:t>/as</w:t>
      </w:r>
      <w:r w:rsidR="007B655E">
        <w:rPr>
          <w:rFonts w:ascii="ITC New Baskerville Std" w:hAnsi="ITC New Baskerville Std"/>
          <w:sz w:val="20"/>
          <w:szCs w:val="20"/>
        </w:rPr>
        <w:t xml:space="preserve"> </w:t>
      </w:r>
      <w:r w:rsidRPr="00CB67C4">
        <w:rPr>
          <w:rFonts w:ascii="ITC New Baskerville Std" w:hAnsi="ITC New Baskerville Std"/>
          <w:sz w:val="20"/>
          <w:szCs w:val="20"/>
        </w:rPr>
        <w:t>ou grupos de interese da Universidade de Vigo, así como o seu seguimento e revisión periódicos.</w:t>
      </w:r>
    </w:p>
    <w:p w:rsidR="00A21A15" w:rsidRPr="00CB67C4" w:rsidRDefault="00A21A15" w:rsidP="00A21A15">
      <w:pPr>
        <w:tabs>
          <w:tab w:val="left" w:pos="1276"/>
        </w:tabs>
        <w:ind w:right="-142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lang w:val="gl-ES"/>
        </w:rPr>
      </w:pPr>
      <w:bookmarkStart w:id="2" w:name="_Toc348607830"/>
      <w:r w:rsidRPr="00CB67C4">
        <w:rPr>
          <w:rFonts w:ascii="ITC New Baskerville Std" w:hAnsi="ITC New Baskerville Std"/>
          <w:b w:val="0"/>
          <w:lang w:val="gl-ES"/>
        </w:rPr>
        <w:t>II ALCANCE</w:t>
      </w:r>
      <w:bookmarkEnd w:id="2"/>
    </w:p>
    <w:p w:rsidR="00442A24" w:rsidRPr="00CB67C4" w:rsidRDefault="00442A24" w:rsidP="00442A24">
      <w:pPr>
        <w:ind w:left="-284"/>
        <w:rPr>
          <w:rFonts w:ascii="ITC New Baskerville Std" w:hAnsi="ITC New Baskerville Std"/>
          <w:sz w:val="10"/>
          <w:szCs w:val="10"/>
        </w:rPr>
      </w:pPr>
    </w:p>
    <w:p w:rsidR="00A21A15" w:rsidRPr="00CB67C4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Este procedemento apl</w:t>
      </w:r>
      <w:r w:rsidR="00FC529B">
        <w:rPr>
          <w:rFonts w:ascii="ITC New Baskerville Std" w:hAnsi="ITC New Baskerville Std"/>
          <w:sz w:val="20"/>
          <w:szCs w:val="20"/>
        </w:rPr>
        <w:t>í</w:t>
      </w:r>
      <w:r w:rsidRPr="00CB67C4">
        <w:rPr>
          <w:rFonts w:ascii="ITC New Baskerville Std" w:hAnsi="ITC New Baskerville Std"/>
          <w:sz w:val="20"/>
          <w:szCs w:val="20"/>
        </w:rPr>
        <w:t>ca</w:t>
      </w:r>
      <w:r w:rsidR="00FC529B">
        <w:rPr>
          <w:rFonts w:ascii="ITC New Baskerville Std" w:hAnsi="ITC New Baskerville Std"/>
          <w:sz w:val="20"/>
          <w:szCs w:val="20"/>
        </w:rPr>
        <w:t>se</w:t>
      </w:r>
      <w:r w:rsidRPr="00CB67C4">
        <w:rPr>
          <w:rFonts w:ascii="ITC New Baskerville Std" w:hAnsi="ITC New Baskerville Std"/>
          <w:sz w:val="20"/>
          <w:szCs w:val="20"/>
        </w:rPr>
        <w:t xml:space="preserve"> a todas as queixas, suxestións e parabéns no ámbito do</w:t>
      </w:r>
    </w:p>
    <w:p w:rsidR="00A21A15" w:rsidRPr="00CB67C4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</w:p>
    <w:p w:rsidR="00A21A15" w:rsidRPr="00CB67C4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•</w:t>
      </w:r>
      <w:r w:rsidRPr="00CB67C4">
        <w:rPr>
          <w:rFonts w:ascii="ITC New Baskerville Std" w:hAnsi="ITC New Baskerville Std"/>
          <w:sz w:val="20"/>
          <w:szCs w:val="20"/>
        </w:rPr>
        <w:tab/>
      </w:r>
      <w:r w:rsidR="00FC529B">
        <w:rPr>
          <w:rFonts w:ascii="ITC New Baskerville Std" w:hAnsi="ITC New Baskerville Std"/>
          <w:sz w:val="20"/>
          <w:szCs w:val="20"/>
        </w:rPr>
        <w:t>s</w:t>
      </w:r>
      <w:r w:rsidRPr="00CB67C4">
        <w:rPr>
          <w:rFonts w:ascii="ITC New Baskerville Std" w:hAnsi="ITC New Baskerville Std"/>
          <w:sz w:val="20"/>
          <w:szCs w:val="20"/>
        </w:rPr>
        <w:t xml:space="preserve">istema de </w:t>
      </w:r>
      <w:r w:rsidR="00FC529B">
        <w:rPr>
          <w:rFonts w:ascii="ITC New Baskerville Std" w:hAnsi="ITC New Baskerville Std"/>
          <w:sz w:val="20"/>
          <w:szCs w:val="20"/>
        </w:rPr>
        <w:t>g</w:t>
      </w:r>
      <w:r w:rsidRPr="00CB67C4">
        <w:rPr>
          <w:rFonts w:ascii="ITC New Baskerville Std" w:hAnsi="ITC New Baskerville Std"/>
          <w:sz w:val="20"/>
          <w:szCs w:val="20"/>
        </w:rPr>
        <w:t xml:space="preserve">arantía </w:t>
      </w:r>
      <w:r w:rsidR="00FC529B">
        <w:rPr>
          <w:rFonts w:ascii="ITC New Baskerville Std" w:hAnsi="ITC New Baskerville Std"/>
          <w:sz w:val="20"/>
          <w:szCs w:val="20"/>
        </w:rPr>
        <w:t>i</w:t>
      </w:r>
      <w:r w:rsidRPr="00CB67C4">
        <w:rPr>
          <w:rFonts w:ascii="ITC New Baskerville Std" w:hAnsi="ITC New Baskerville Std"/>
          <w:sz w:val="20"/>
          <w:szCs w:val="20"/>
        </w:rPr>
        <w:t xml:space="preserve">nterna de </w:t>
      </w:r>
      <w:r w:rsidR="00FC529B">
        <w:rPr>
          <w:rFonts w:ascii="ITC New Baskerville Std" w:hAnsi="ITC New Baskerville Std"/>
          <w:sz w:val="20"/>
          <w:szCs w:val="20"/>
        </w:rPr>
        <w:t>c</w:t>
      </w:r>
      <w:r w:rsidRPr="00CB67C4">
        <w:rPr>
          <w:rFonts w:ascii="ITC New Baskerville Std" w:hAnsi="ITC New Baskerville Std"/>
          <w:sz w:val="20"/>
          <w:szCs w:val="20"/>
        </w:rPr>
        <w:t xml:space="preserve">alidade dos centros e titulacións, </w:t>
      </w:r>
      <w:r w:rsidR="00FC529B">
        <w:rPr>
          <w:rFonts w:ascii="ITC New Baskerville Std" w:hAnsi="ITC New Baskerville Std"/>
          <w:sz w:val="20"/>
          <w:szCs w:val="20"/>
        </w:rPr>
        <w:t>e</w:t>
      </w:r>
      <w:r w:rsidRPr="00CB67C4">
        <w:rPr>
          <w:rFonts w:ascii="ITC New Baskerville Std" w:hAnsi="ITC New Baskerville Std"/>
          <w:sz w:val="20"/>
          <w:szCs w:val="20"/>
        </w:rPr>
        <w:t xml:space="preserve"> do</w:t>
      </w:r>
    </w:p>
    <w:p w:rsidR="00A21A15" w:rsidRPr="00CB67C4" w:rsidRDefault="00A21A15" w:rsidP="00A21A15">
      <w:pPr>
        <w:pStyle w:val="Prrafodelista"/>
        <w:ind w:left="284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•</w:t>
      </w:r>
      <w:r w:rsidRPr="00CB67C4">
        <w:rPr>
          <w:rFonts w:ascii="ITC New Baskerville Std" w:hAnsi="ITC New Baskerville Std"/>
          <w:sz w:val="20"/>
          <w:szCs w:val="20"/>
        </w:rPr>
        <w:tab/>
      </w:r>
      <w:r w:rsidR="00FC529B">
        <w:rPr>
          <w:rFonts w:ascii="ITC New Baskerville Std" w:hAnsi="ITC New Baskerville Std"/>
          <w:sz w:val="20"/>
          <w:szCs w:val="20"/>
        </w:rPr>
        <w:t>s</w:t>
      </w:r>
      <w:r w:rsidRPr="00CB67C4">
        <w:rPr>
          <w:rFonts w:ascii="ITC New Baskerville Std" w:hAnsi="ITC New Baskerville Std"/>
          <w:sz w:val="20"/>
          <w:szCs w:val="20"/>
        </w:rPr>
        <w:t xml:space="preserve">istema de </w:t>
      </w:r>
      <w:r w:rsidR="00FC529B">
        <w:rPr>
          <w:rFonts w:ascii="ITC New Baskerville Std" w:hAnsi="ITC New Baskerville Std"/>
          <w:sz w:val="20"/>
          <w:szCs w:val="20"/>
        </w:rPr>
        <w:t>x</w:t>
      </w:r>
      <w:r w:rsidRPr="00CB67C4">
        <w:rPr>
          <w:rFonts w:ascii="ITC New Baskerville Std" w:hAnsi="ITC New Baskerville Std"/>
          <w:sz w:val="20"/>
          <w:szCs w:val="20"/>
        </w:rPr>
        <w:t xml:space="preserve">estión da </w:t>
      </w:r>
      <w:r w:rsidR="00FC529B">
        <w:rPr>
          <w:rFonts w:ascii="ITC New Baskerville Std" w:hAnsi="ITC New Baskerville Std"/>
          <w:sz w:val="20"/>
          <w:szCs w:val="20"/>
        </w:rPr>
        <w:t>c</w:t>
      </w:r>
      <w:r w:rsidRPr="00CB67C4">
        <w:rPr>
          <w:rFonts w:ascii="ITC New Baskerville Std" w:hAnsi="ITC New Baskerville Std"/>
          <w:sz w:val="20"/>
          <w:szCs w:val="20"/>
        </w:rPr>
        <w:t>alidade no ámbito de xestión</w:t>
      </w:r>
    </w:p>
    <w:p w:rsidR="00A21A15" w:rsidRPr="00CB67C4" w:rsidRDefault="006E2741" w:rsidP="00A21A15">
      <w:pPr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 xml:space="preserve"> da Universidade de Vigo</w:t>
      </w:r>
      <w:r w:rsidR="008949EC">
        <w:rPr>
          <w:rFonts w:ascii="ITC New Baskerville Std" w:hAnsi="ITC New Baskerville Std"/>
          <w:sz w:val="20"/>
          <w:szCs w:val="20"/>
        </w:rPr>
        <w:t>.</w:t>
      </w:r>
      <w:r>
        <w:rPr>
          <w:rFonts w:ascii="ITC New Baskerville Std" w:hAnsi="ITC New Baskerville Std"/>
          <w:sz w:val="20"/>
          <w:szCs w:val="20"/>
        </w:rPr>
        <w:t xml:space="preserve"> </w:t>
      </w:r>
    </w:p>
    <w:p w:rsidR="00AD522F" w:rsidRPr="00CB67C4" w:rsidRDefault="00F522EA" w:rsidP="00F522EA">
      <w:pPr>
        <w:jc w:val="both"/>
        <w:rPr>
          <w:rFonts w:ascii="ITC New Baskerville Std" w:hAnsi="ITC New Baskerville Std"/>
          <w:sz w:val="20"/>
          <w:szCs w:val="20"/>
        </w:rPr>
      </w:pPr>
      <w:r w:rsidRPr="00F522EA">
        <w:rPr>
          <w:rFonts w:ascii="ITC New Baskerville Std" w:hAnsi="ITC New Baskerville Std"/>
          <w:sz w:val="20"/>
          <w:szCs w:val="20"/>
        </w:rPr>
        <w:t>Quedan excluídas deste procedemento as reclamacións respecto das cualificacións das probas de avaliación, que son xestionadas a través do procedemento establecido no Reg</w:t>
      </w:r>
      <w:r>
        <w:rPr>
          <w:rFonts w:ascii="ITC New Baskerville Std" w:hAnsi="ITC New Baskerville Std"/>
          <w:sz w:val="20"/>
          <w:szCs w:val="20"/>
        </w:rPr>
        <w:t>u</w:t>
      </w:r>
      <w:r w:rsidRPr="00F522EA">
        <w:rPr>
          <w:rFonts w:ascii="ITC New Baskerville Std" w:hAnsi="ITC New Baskerville Std"/>
          <w:sz w:val="20"/>
          <w:szCs w:val="20"/>
        </w:rPr>
        <w:t xml:space="preserve">lamento </w:t>
      </w:r>
      <w:r w:rsidR="00206565">
        <w:rPr>
          <w:rFonts w:ascii="ITC New Baskerville Std" w:hAnsi="ITC New Baskerville Std"/>
          <w:sz w:val="20"/>
          <w:szCs w:val="20"/>
        </w:rPr>
        <w:t>de e</w:t>
      </w:r>
      <w:r w:rsidRPr="00F522EA">
        <w:rPr>
          <w:rFonts w:ascii="ITC New Baskerville Std" w:hAnsi="ITC New Baskerville Std"/>
          <w:sz w:val="20"/>
          <w:szCs w:val="20"/>
        </w:rPr>
        <w:t>studantes.</w:t>
      </w:r>
    </w:p>
    <w:p w:rsidR="00F522EA" w:rsidRDefault="00F522EA" w:rsidP="00A94F28">
      <w:pPr>
        <w:spacing w:after="0"/>
        <w:jc w:val="both"/>
        <w:rPr>
          <w:rFonts w:ascii="ITC New Baskerville Std" w:hAnsi="ITC New Baskerville Std"/>
          <w:sz w:val="18"/>
          <w:szCs w:val="18"/>
        </w:rPr>
      </w:pPr>
    </w:p>
    <w:p w:rsidR="00A94F28" w:rsidRPr="00CB67C4" w:rsidRDefault="00A94F28" w:rsidP="00F20B21">
      <w:pPr>
        <w:spacing w:after="0"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Nota 1:</w:t>
      </w:r>
      <w:r w:rsidR="00F20B21">
        <w:rPr>
          <w:rFonts w:ascii="ITC New Baskerville Std" w:hAnsi="ITC New Baskerville Std"/>
          <w:sz w:val="18"/>
          <w:szCs w:val="18"/>
        </w:rPr>
        <w:t xml:space="preserve"> </w:t>
      </w:r>
      <w:r w:rsidR="00FC529B">
        <w:rPr>
          <w:rFonts w:ascii="ITC New Baskerville Std" w:hAnsi="ITC New Baskerville Std"/>
          <w:sz w:val="18"/>
          <w:szCs w:val="18"/>
        </w:rPr>
        <w:t>e</w:t>
      </w:r>
      <w:r w:rsidR="00F20B21">
        <w:rPr>
          <w:rFonts w:ascii="ITC New Baskerville Std" w:hAnsi="ITC New Baskerville Std"/>
          <w:sz w:val="18"/>
          <w:szCs w:val="18"/>
        </w:rPr>
        <w:t xml:space="preserve">ste sistema é independente das actuacións do </w:t>
      </w:r>
      <w:r w:rsidR="00F20B21" w:rsidRPr="00CB67C4">
        <w:rPr>
          <w:rFonts w:ascii="ITC New Baskerville Std" w:hAnsi="ITC New Baskerville Std"/>
          <w:sz w:val="18"/>
          <w:szCs w:val="18"/>
        </w:rPr>
        <w:t>Tribunal de Garantías</w:t>
      </w:r>
      <w:r w:rsidR="00F20B21">
        <w:rPr>
          <w:rFonts w:ascii="ITC New Baskerville Std" w:hAnsi="ITC New Baskerville Std"/>
          <w:sz w:val="18"/>
          <w:szCs w:val="18"/>
        </w:rPr>
        <w:t xml:space="preserve">. </w:t>
      </w:r>
    </w:p>
    <w:p w:rsidR="00A94F28" w:rsidRPr="00CB67C4" w:rsidRDefault="00A94F28" w:rsidP="00A94F28">
      <w:pPr>
        <w:spacing w:after="0"/>
        <w:jc w:val="both"/>
        <w:rPr>
          <w:rFonts w:ascii="ITC New Baskerville Std" w:hAnsi="ITC New Baskerville Std"/>
          <w:sz w:val="18"/>
          <w:szCs w:val="18"/>
        </w:rPr>
      </w:pPr>
    </w:p>
    <w:p w:rsidR="00A94F28" w:rsidRPr="00CB67C4" w:rsidRDefault="00FC529B" w:rsidP="00A94F28">
      <w:pPr>
        <w:spacing w:after="0"/>
        <w:jc w:val="both"/>
        <w:rPr>
          <w:rFonts w:ascii="ITC New Baskerville Std" w:hAnsi="ITC New Baskerville Std"/>
          <w:sz w:val="18"/>
          <w:szCs w:val="18"/>
        </w:rPr>
      </w:pPr>
      <w:r>
        <w:rPr>
          <w:rFonts w:ascii="ITC New Baskerville Std" w:hAnsi="ITC New Baskerville Std"/>
          <w:sz w:val="18"/>
          <w:szCs w:val="18"/>
        </w:rPr>
        <w:t>Nota 2: r</w:t>
      </w:r>
      <w:r w:rsidR="00A94F28" w:rsidRPr="00CB67C4">
        <w:rPr>
          <w:rFonts w:ascii="ITC New Baskerville Std" w:hAnsi="ITC New Baskerville Std"/>
          <w:sz w:val="18"/>
          <w:szCs w:val="18"/>
        </w:rPr>
        <w:t>ecursos administrativos</w:t>
      </w:r>
    </w:p>
    <w:p w:rsidR="00A94F28" w:rsidRPr="00CB67C4" w:rsidRDefault="00A94F28" w:rsidP="00A94F28">
      <w:pPr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O sistema establecido neste procedemento é independente do sistema de recursos administrativos</w:t>
      </w:r>
      <w:r w:rsidR="00C927EF" w:rsidRPr="00C927EF">
        <w:rPr>
          <w:rFonts w:ascii="ITC New Baskerville Std" w:hAnsi="ITC New Baskerville Std"/>
          <w:sz w:val="18"/>
          <w:szCs w:val="18"/>
        </w:rPr>
        <w:t xml:space="preserve"> </w:t>
      </w:r>
      <w:r w:rsidR="00C927EF" w:rsidRPr="00CB67C4">
        <w:rPr>
          <w:rFonts w:ascii="ITC New Baskerville Std" w:hAnsi="ITC New Baskerville Std"/>
          <w:sz w:val="18"/>
          <w:szCs w:val="18"/>
        </w:rPr>
        <w:t>previsto na Lei 30/1992, d</w:t>
      </w:r>
      <w:r w:rsidR="00FC529B">
        <w:rPr>
          <w:rFonts w:ascii="ITC New Baskerville Std" w:hAnsi="ITC New Baskerville Std"/>
          <w:sz w:val="18"/>
          <w:szCs w:val="18"/>
        </w:rPr>
        <w:t>o</w:t>
      </w:r>
      <w:r w:rsidR="00C927EF" w:rsidRPr="00CB67C4">
        <w:rPr>
          <w:rFonts w:ascii="ITC New Baskerville Std" w:hAnsi="ITC New Baskerville Std"/>
          <w:sz w:val="18"/>
          <w:szCs w:val="18"/>
        </w:rPr>
        <w:t xml:space="preserve"> 26 de novembro, de </w:t>
      </w:r>
      <w:r w:rsidR="00C927EF">
        <w:rPr>
          <w:rFonts w:ascii="ITC New Baskerville Std" w:hAnsi="ITC New Baskerville Std"/>
          <w:sz w:val="18"/>
          <w:szCs w:val="18"/>
        </w:rPr>
        <w:t>r</w:t>
      </w:r>
      <w:r w:rsidR="00C927EF" w:rsidRPr="00CB67C4">
        <w:rPr>
          <w:rFonts w:ascii="ITC New Baskerville Std" w:hAnsi="ITC New Baskerville Std"/>
          <w:sz w:val="18"/>
          <w:szCs w:val="18"/>
        </w:rPr>
        <w:t xml:space="preserve">éxime </w:t>
      </w:r>
      <w:r w:rsidR="00C927EF">
        <w:rPr>
          <w:rFonts w:ascii="ITC New Baskerville Std" w:hAnsi="ITC New Baskerville Std"/>
          <w:sz w:val="18"/>
          <w:szCs w:val="18"/>
        </w:rPr>
        <w:t>x</w:t>
      </w:r>
      <w:r w:rsidR="00C927EF" w:rsidRPr="00CB67C4">
        <w:rPr>
          <w:rFonts w:ascii="ITC New Baskerville Std" w:hAnsi="ITC New Baskerville Std"/>
          <w:sz w:val="18"/>
          <w:szCs w:val="18"/>
        </w:rPr>
        <w:t xml:space="preserve">urídico das </w:t>
      </w:r>
      <w:r w:rsidR="00C927EF">
        <w:rPr>
          <w:rFonts w:ascii="ITC New Baskerville Std" w:hAnsi="ITC New Baskerville Std"/>
          <w:sz w:val="18"/>
          <w:szCs w:val="18"/>
        </w:rPr>
        <w:t>a</w:t>
      </w:r>
      <w:r w:rsidR="00C927EF" w:rsidRPr="00CB67C4">
        <w:rPr>
          <w:rFonts w:ascii="ITC New Baskerville Std" w:hAnsi="ITC New Baskerville Std"/>
          <w:sz w:val="18"/>
          <w:szCs w:val="18"/>
        </w:rPr>
        <w:t xml:space="preserve">dministracións e do </w:t>
      </w:r>
      <w:r w:rsidR="008949EC">
        <w:rPr>
          <w:rFonts w:ascii="ITC New Baskerville Std" w:hAnsi="ITC New Baskerville Std"/>
          <w:sz w:val="18"/>
          <w:szCs w:val="18"/>
        </w:rPr>
        <w:t>p</w:t>
      </w:r>
      <w:r w:rsidR="00C927EF" w:rsidRPr="00CB67C4">
        <w:rPr>
          <w:rFonts w:ascii="ITC New Baskerville Std" w:hAnsi="ITC New Baskerville Std"/>
          <w:sz w:val="18"/>
          <w:szCs w:val="18"/>
        </w:rPr>
        <w:t xml:space="preserve">rocedemento </w:t>
      </w:r>
      <w:r w:rsidR="008949EC">
        <w:rPr>
          <w:rFonts w:ascii="ITC New Baskerville Std" w:hAnsi="ITC New Baskerville Std"/>
          <w:sz w:val="18"/>
          <w:szCs w:val="18"/>
        </w:rPr>
        <w:t>a</w:t>
      </w:r>
      <w:r w:rsidR="00C927EF" w:rsidRPr="00CB67C4">
        <w:rPr>
          <w:rFonts w:ascii="ITC New Baskerville Std" w:hAnsi="ITC New Baskerville Std"/>
          <w:sz w:val="18"/>
          <w:szCs w:val="18"/>
        </w:rPr>
        <w:t xml:space="preserve">dministrativo </w:t>
      </w:r>
      <w:r w:rsidR="008949EC">
        <w:rPr>
          <w:rFonts w:ascii="ITC New Baskerville Std" w:hAnsi="ITC New Baskerville Std"/>
          <w:sz w:val="18"/>
          <w:szCs w:val="18"/>
        </w:rPr>
        <w:t>c</w:t>
      </w:r>
      <w:r w:rsidR="00C927EF" w:rsidRPr="00CB67C4">
        <w:rPr>
          <w:rFonts w:ascii="ITC New Baskerville Std" w:hAnsi="ITC New Baskerville Std"/>
          <w:sz w:val="18"/>
          <w:szCs w:val="18"/>
        </w:rPr>
        <w:t>omún</w:t>
      </w:r>
      <w:r w:rsidRPr="00CB67C4">
        <w:rPr>
          <w:rFonts w:ascii="ITC New Baskerville Std" w:hAnsi="ITC New Baskerville Std"/>
          <w:sz w:val="18"/>
          <w:szCs w:val="18"/>
        </w:rPr>
        <w:t xml:space="preserve">. </w:t>
      </w:r>
      <w:r w:rsidR="008949EC">
        <w:rPr>
          <w:rFonts w:ascii="ITC New Baskerville Std" w:hAnsi="ITC New Baskerville Std"/>
          <w:sz w:val="18"/>
          <w:szCs w:val="18"/>
        </w:rPr>
        <w:t>A</w:t>
      </w:r>
      <w:r w:rsidRPr="00CB67C4">
        <w:rPr>
          <w:rFonts w:ascii="ITC New Baskerville Std" w:hAnsi="ITC New Baskerville Std"/>
          <w:sz w:val="18"/>
          <w:szCs w:val="18"/>
        </w:rPr>
        <w:t>s queixas presentadas non terán carácter de recurso administrativo nin interromperá</w:t>
      </w:r>
      <w:r w:rsidR="00DF4559">
        <w:rPr>
          <w:rFonts w:ascii="ITC New Baskerville Std" w:hAnsi="ITC New Baskerville Std"/>
          <w:sz w:val="18"/>
          <w:szCs w:val="18"/>
        </w:rPr>
        <w:t>n</w:t>
      </w:r>
      <w:r w:rsidRPr="00CB67C4">
        <w:rPr>
          <w:rFonts w:ascii="ITC New Baskerville Std" w:hAnsi="ITC New Baskerville Std"/>
          <w:sz w:val="18"/>
          <w:szCs w:val="18"/>
        </w:rPr>
        <w:t xml:space="preserve"> os praz</w:t>
      </w:r>
      <w:r w:rsidR="00DB3C89" w:rsidRPr="00CB67C4">
        <w:rPr>
          <w:rFonts w:ascii="ITC New Baskerville Std" w:hAnsi="ITC New Baskerville Std"/>
          <w:sz w:val="18"/>
          <w:szCs w:val="18"/>
        </w:rPr>
        <w:t>os establecidos na normativa vix</w:t>
      </w:r>
      <w:r w:rsidRPr="00CB67C4">
        <w:rPr>
          <w:rFonts w:ascii="ITC New Baskerville Std" w:hAnsi="ITC New Baskerville Std"/>
          <w:sz w:val="18"/>
          <w:szCs w:val="18"/>
        </w:rPr>
        <w:t>ente. A presentación de queixas non suporá, en ningún caso, a renuncia ao exercicio doutros dereitos e accións que poida exercer calquera persoa interesada.</w:t>
      </w:r>
    </w:p>
    <w:p w:rsidR="00DB3C89" w:rsidRPr="00CB67C4" w:rsidRDefault="00DB3C89" w:rsidP="00A94F28">
      <w:pPr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  <w:lang w:val="gl-ES"/>
        </w:rPr>
      </w:pPr>
      <w:bookmarkStart w:id="3" w:name="_Toc348607831"/>
      <w:r w:rsidRPr="00CB67C4">
        <w:rPr>
          <w:rFonts w:ascii="ITC New Baskerville Std" w:hAnsi="ITC New Baskerville Std"/>
          <w:b w:val="0"/>
          <w:lang w:val="gl-ES"/>
        </w:rPr>
        <w:t>III REFERENCIAS</w:t>
      </w:r>
      <w:bookmarkEnd w:id="3"/>
    </w:p>
    <w:p w:rsidR="00442A24" w:rsidRPr="00CB67C4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CB67C4" w:rsidRDefault="00442A24" w:rsidP="00442A24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val="gl-ES" w:eastAsia="fr-FR"/>
        </w:rPr>
      </w:pPr>
      <w:r w:rsidRPr="00CB67C4">
        <w:rPr>
          <w:b/>
          <w:i w:val="0"/>
          <w:lang w:val="gl-ES"/>
        </w:rPr>
        <w:t xml:space="preserve">Normas </w:t>
      </w:r>
    </w:p>
    <w:p w:rsidR="00442A24" w:rsidRPr="00CB67C4" w:rsidRDefault="00442A24" w:rsidP="00442A24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CB67C4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Lexislación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22775F" w:rsidRPr="00FA0BB8" w:rsidRDefault="0022775F" w:rsidP="0022775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Lei </w:t>
      </w:r>
      <w:r w:rsidR="009B530C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rgánica 4/2007, do 12 de abril, pola que se modifica a Lei </w:t>
      </w:r>
      <w:r w:rsidR="009B530C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rgánica 6/2001, do 21 de decembro, de </w:t>
      </w:r>
      <w:r w:rsidR="0057030B">
        <w:rPr>
          <w:rFonts w:ascii="ITC New Baskerville Std" w:hAnsi="ITC New Baskerville Std" w:cstheme="minorHAnsi"/>
          <w:sz w:val="18"/>
          <w:szCs w:val="18"/>
        </w:rPr>
        <w:t>u</w:t>
      </w:r>
      <w:r w:rsidRPr="00FA0BB8">
        <w:rPr>
          <w:rFonts w:ascii="ITC New Baskerville Std" w:hAnsi="ITC New Baskerville Std" w:cstheme="minorHAnsi"/>
          <w:sz w:val="18"/>
          <w:szCs w:val="18"/>
        </w:rPr>
        <w:t>niversidades.</w:t>
      </w:r>
    </w:p>
    <w:p w:rsidR="0022775F" w:rsidRPr="00FA0BB8" w:rsidRDefault="0022775F" w:rsidP="0022775F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RD 861/2010, d</w:t>
      </w:r>
      <w:r w:rsidR="00D001A2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2 de xullo, polo que se modifica o RD 1393/2007, d</w:t>
      </w:r>
      <w:r w:rsidR="00D001A2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29 de outubro, polo que se establece a ordenación das ensinanzas universitarias oficiais.</w:t>
      </w:r>
    </w:p>
    <w:p w:rsidR="00D27FE6" w:rsidRPr="00FA0BB8" w:rsidRDefault="00D27FE6" w:rsidP="00D27FE6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A730B6" w:rsidRPr="00FA0BB8" w:rsidRDefault="00722EAA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Lei orgánica 15/1999, d</w:t>
      </w:r>
      <w:r w:rsidR="0057030B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13 de decembro, de protección de datos de carácter persoal (LOPD).</w:t>
      </w:r>
    </w:p>
    <w:p w:rsidR="00722EAA" w:rsidRPr="00FA0BB8" w:rsidRDefault="00722EAA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CC2CD2" w:rsidRPr="00FA0BB8" w:rsidRDefault="00F21865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>
        <w:rPr>
          <w:rFonts w:ascii="ITC New Baskerville Std" w:hAnsi="ITC New Baskerville Std" w:cstheme="minorHAnsi"/>
          <w:sz w:val="18"/>
          <w:szCs w:val="18"/>
        </w:rPr>
        <w:t>- Lei 59/2003, do</w:t>
      </w:r>
      <w:r w:rsidR="00CC2CD2" w:rsidRPr="00FA0BB8">
        <w:rPr>
          <w:rFonts w:ascii="ITC New Baskerville Std" w:hAnsi="ITC New Baskerville Std" w:cstheme="minorHAnsi"/>
          <w:sz w:val="18"/>
          <w:szCs w:val="18"/>
        </w:rPr>
        <w:t xml:space="preserve"> 19 de </w:t>
      </w:r>
      <w:r w:rsidR="00FA0BB8" w:rsidRPr="00FA0BB8">
        <w:rPr>
          <w:rFonts w:ascii="ITC New Baskerville Std" w:hAnsi="ITC New Baskerville Std" w:cstheme="minorHAnsi"/>
          <w:sz w:val="18"/>
          <w:szCs w:val="18"/>
        </w:rPr>
        <w:t>decembro</w:t>
      </w:r>
      <w:r w:rsidR="00CC2CD2" w:rsidRPr="00FA0BB8">
        <w:rPr>
          <w:rFonts w:ascii="ITC New Baskerville Std" w:hAnsi="ITC New Baskerville Std" w:cstheme="minorHAnsi"/>
          <w:sz w:val="18"/>
          <w:szCs w:val="18"/>
        </w:rPr>
        <w:t>, de sinatura electrónica.</w:t>
      </w:r>
    </w:p>
    <w:p w:rsidR="00CC2CD2" w:rsidRPr="00FA0BB8" w:rsidRDefault="00CC2CD2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CC2CD2" w:rsidRPr="00FA0BB8" w:rsidRDefault="00CC2CD2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Lei 11/2007, d</w:t>
      </w:r>
      <w:r w:rsidR="00F21865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22 de xuño, de acceso electrónico dos cidadáns aos servizos públicos.</w:t>
      </w:r>
    </w:p>
    <w:p w:rsidR="00CC2CD2" w:rsidRPr="00FA0BB8" w:rsidRDefault="00CC2CD2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CC2CD2" w:rsidRPr="00FA0BB8" w:rsidRDefault="00CC2CD2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RD 1671/2009, d</w:t>
      </w:r>
      <w:r w:rsidR="00F21865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6 de novembro, polo que se desenvolve parcialmente a Lei 11/2007, de 22 de xuño, de acceso electrónico dos cidadáns aos servizos públicos.</w:t>
      </w:r>
    </w:p>
    <w:p w:rsidR="00CC2CD2" w:rsidRPr="00FA0BB8" w:rsidRDefault="00CC2CD2" w:rsidP="00CC2CD2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390FAE" w:rsidRPr="00FA0BB8" w:rsidRDefault="00390FAE" w:rsidP="00390FAE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lastRenderedPageBreak/>
        <w:t>- RD 951/2005, d</w:t>
      </w:r>
      <w:r w:rsidR="00F21865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29 de xullo, polo que establece o marco xeral para a mellora da calidade na Administración Xenal do Estado.</w:t>
      </w:r>
    </w:p>
    <w:p w:rsidR="00390FAE" w:rsidRPr="00FA0BB8" w:rsidRDefault="00390FAE" w:rsidP="00390FAE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FA0BB8" w:rsidRPr="00FA0BB8" w:rsidRDefault="00FA0BB8" w:rsidP="00FA0BB8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Lei 4/2006, d</w:t>
      </w:r>
      <w:r w:rsidR="00F21865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30 de xuño, de transparencia e de boas prácticas na Administración Pública Galega.</w:t>
      </w:r>
    </w:p>
    <w:p w:rsidR="00FA0BB8" w:rsidRPr="00FA0BB8" w:rsidRDefault="00FA0BB8" w:rsidP="00FA0BB8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- Estatutos da Universidade de Vigo.</w:t>
      </w:r>
    </w:p>
    <w:p w:rsidR="00FA0BB8" w:rsidRPr="00FA0BB8" w:rsidRDefault="00FA0BB8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146F3" w:rsidRPr="00FA0BB8" w:rsidRDefault="004146F3" w:rsidP="004146F3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- Resolución reitoral da Universidade de Vigo, do 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21 de mai</w:t>
      </w:r>
      <w:r w:rsidRPr="00FA0BB8">
        <w:rPr>
          <w:rFonts w:ascii="ITC New Baskerville Std" w:hAnsi="ITC New Baskerville Std" w:cstheme="minorHAnsi"/>
          <w:sz w:val="18"/>
          <w:szCs w:val="18"/>
        </w:rPr>
        <w:t>o de 201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4</w:t>
      </w:r>
      <w:r w:rsidR="0057030B">
        <w:rPr>
          <w:rFonts w:ascii="ITC New Baskerville Std" w:hAnsi="ITC New Baskerville Std" w:cstheme="minorHAnsi"/>
          <w:sz w:val="18"/>
          <w:szCs w:val="18"/>
        </w:rPr>
        <w:t>,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 xml:space="preserve"> pola que se modifica a Resolución do 7 de maio de 2014</w:t>
      </w:r>
      <w:r w:rsidRPr="00FA0BB8">
        <w:rPr>
          <w:rFonts w:ascii="ITC New Baskerville Std" w:hAnsi="ITC New Baskerville Std" w:cstheme="minorHAnsi"/>
          <w:sz w:val="18"/>
          <w:szCs w:val="18"/>
        </w:rPr>
        <w:t>, de delegación de competencias.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D27FE6" w:rsidRPr="00FA0BB8" w:rsidRDefault="00D27FE6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42A24" w:rsidRPr="00FA0BB8" w:rsidRDefault="00D001A2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FA0BB8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Normas e estándares de calidade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442A24" w:rsidRPr="00FA0BB8" w:rsidRDefault="00442A24" w:rsidP="00A3517A">
      <w:pPr>
        <w:spacing w:after="0" w:line="240" w:lineRule="auto"/>
        <w:ind w:left="851" w:hanging="567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ENQA: Criterios e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d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irectrices para a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g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arantía de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c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alidade no Espazo Europeo de Educación Superior. </w:t>
      </w:r>
    </w:p>
    <w:p w:rsidR="00093517" w:rsidRPr="00FA0BB8" w:rsidRDefault="00093517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1.1 Política e procedementos para a garantía de calidade</w:t>
      </w:r>
    </w:p>
    <w:p w:rsidR="00093517" w:rsidRPr="00FA0BB8" w:rsidRDefault="00093517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1.2 Aprobación, control e revisión periódica dos programas e títulos</w:t>
      </w:r>
    </w:p>
    <w:p w:rsidR="00442A24" w:rsidRPr="00FA0BB8" w:rsidRDefault="00442A24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1.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6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A730B6" w:rsidRPr="00FA0BB8">
        <w:rPr>
          <w:rFonts w:ascii="ITC New Baskerville Std" w:hAnsi="ITC New Baskerville Std" w:cstheme="minorHAnsi"/>
          <w:sz w:val="18"/>
          <w:szCs w:val="18"/>
        </w:rPr>
        <w:t>Sistemas de información.</w:t>
      </w: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b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ACSUG, ANECA e AQU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: Programa FIDES-AUDIT.  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Sistemas de </w:t>
      </w:r>
      <w:r w:rsidR="0058229D"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g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arantía </w:t>
      </w:r>
      <w:r w:rsidR="0058229D"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nterna da </w:t>
      </w:r>
      <w:r w:rsidR="0058229D"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alidade da formación universitaria. </w:t>
      </w:r>
    </w:p>
    <w:p w:rsidR="00093517" w:rsidRPr="00FA0BB8" w:rsidRDefault="00093517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>Directriz 6. Desenvolvemento dos programas formativos e outras actuacións orientadas á aprendizaxe do estudantado.</w:t>
      </w:r>
    </w:p>
    <w:p w:rsidR="00442A24" w:rsidRPr="00FA0BB8" w:rsidRDefault="00442A24" w:rsidP="00F2623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hAnsi="ITC New Baskerville Std" w:cstheme="minorHAnsi"/>
          <w:sz w:val="18"/>
          <w:szCs w:val="18"/>
        </w:rPr>
        <w:t xml:space="preserve">Directriz 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9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. </w:t>
      </w:r>
      <w:r w:rsidR="00093517" w:rsidRPr="00FA0BB8">
        <w:rPr>
          <w:rFonts w:ascii="ITC New Baskerville Std" w:hAnsi="ITC New Baskerville Std" w:cstheme="minorHAnsi"/>
          <w:sz w:val="18"/>
          <w:szCs w:val="18"/>
        </w:rPr>
        <w:t>Resultados para a mellora dos programas formativos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.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ACSUG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 xml:space="preserve">do 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Seguimento de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t</w:t>
      </w:r>
      <w:r w:rsidRPr="00FA0BB8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o</w:t>
      </w:r>
      <w:r w:rsidRPr="00FA0BB8">
        <w:rPr>
          <w:rFonts w:ascii="ITC New Baskerville Std" w:hAnsi="ITC New Baskerville Std" w:cstheme="minorHAnsi"/>
          <w:sz w:val="18"/>
          <w:szCs w:val="18"/>
        </w:rPr>
        <w:t>ficiais.</w:t>
      </w: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9000: Sistemas de xestión da calidade. Fundamentos e vocabulario.</w:t>
      </w: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FA0BB8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UNE-EN ISO 9001: Sistemas de xestión da calidade. Requisitos.</w:t>
      </w:r>
    </w:p>
    <w:p w:rsidR="00D27FE6" w:rsidRPr="00FA0BB8" w:rsidRDefault="00D27FE6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093517" w:rsidRPr="00FA0BB8" w:rsidRDefault="00093517" w:rsidP="0009351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Norma UNE- ISO 10002: Xestión da calidade. Satisfacción do cliente. Directrices para o tratamento das queixas nas organizacións.</w:t>
      </w:r>
    </w:p>
    <w:p w:rsidR="00093517" w:rsidRPr="00FA0BB8" w:rsidRDefault="00093517" w:rsidP="0009351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FA0BB8" w:rsidRDefault="00442A24" w:rsidP="00A3517A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FA0BB8" w:rsidRDefault="0058229D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FA0BB8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Outros documentos de referencia</w:t>
      </w: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3E40B2" w:rsidRPr="00FA0BB8" w:rsidRDefault="003E40B2" w:rsidP="003E40B2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FA0BB8">
        <w:rPr>
          <w:rFonts w:ascii="ITC New Baskerville Std" w:hAnsi="ITC New Baskerville Std" w:cstheme="minorHAnsi"/>
          <w:sz w:val="18"/>
          <w:szCs w:val="18"/>
        </w:rPr>
        <w:t>Plan Avante da Universidade de Vigo</w:t>
      </w:r>
      <w:r w:rsidRPr="00FA0BB8">
        <w:rPr>
          <w:rFonts w:ascii="ITC New Baskerville Std" w:hAnsi="ITC New Baskerville Std" w:cstheme="minorHAnsi"/>
          <w:i/>
          <w:sz w:val="18"/>
          <w:szCs w:val="18"/>
        </w:rPr>
        <w:t xml:space="preserve">. </w:t>
      </w:r>
    </w:p>
    <w:p w:rsidR="003E40B2" w:rsidRPr="00FA0BB8" w:rsidRDefault="003E40B2" w:rsidP="003E40B2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FA0BB8" w:rsidRPr="00FA0BB8" w:rsidRDefault="00FA0BB8" w:rsidP="00FA0BB8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FA0BB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Guía para a xestión das queixas e suxestións (Axencia Estatal de Avaliación das Políticas Públicas e a Calidade dos Servizos, AEVAL)</w:t>
      </w:r>
    </w:p>
    <w:p w:rsidR="00FA0BB8" w:rsidRPr="00FA0BB8" w:rsidRDefault="00FA0BB8" w:rsidP="00FA0BB8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8"/>
          <w:szCs w:val="8"/>
        </w:rPr>
      </w:pPr>
    </w:p>
    <w:p w:rsidR="00442A24" w:rsidRPr="00FA0BB8" w:rsidRDefault="00442A24" w:rsidP="00A3517A">
      <w:pPr>
        <w:spacing w:after="0" w:line="240" w:lineRule="auto"/>
        <w:ind w:firstLine="284"/>
        <w:jc w:val="both"/>
        <w:rPr>
          <w:rFonts w:ascii="ITC New Baskerville Std" w:hAnsi="ITC New Baskerville Std" w:cstheme="minorHAnsi"/>
          <w:i/>
          <w:sz w:val="18"/>
          <w:szCs w:val="18"/>
        </w:rPr>
      </w:pPr>
      <w:r w:rsidRPr="00FA0BB8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- </w:t>
      </w:r>
      <w:r w:rsidRPr="00FA0BB8">
        <w:rPr>
          <w:rFonts w:ascii="ITC New Baskerville Std" w:hAnsi="ITC New Baskerville Std" w:cstheme="minorHAnsi"/>
          <w:sz w:val="18"/>
          <w:szCs w:val="18"/>
        </w:rPr>
        <w:t>Universidade de Vigo</w:t>
      </w:r>
      <w:r w:rsidR="0058229D" w:rsidRPr="00FA0BB8">
        <w:rPr>
          <w:rFonts w:ascii="ITC New Baskerville Std" w:hAnsi="ITC New Baskerville Std" w:cstheme="minorHAnsi"/>
          <w:sz w:val="18"/>
          <w:szCs w:val="18"/>
        </w:rPr>
        <w:t>:</w:t>
      </w:r>
      <w:r w:rsidRPr="00FA0BB8">
        <w:rPr>
          <w:rFonts w:ascii="ITC New Baskerville Std" w:hAnsi="ITC New Baskerville Std" w:cstheme="minorHAnsi"/>
          <w:i/>
          <w:sz w:val="18"/>
          <w:szCs w:val="18"/>
        </w:rPr>
        <w:t xml:space="preserve"> Manual de linguaxe inclusiva no ámbito universitario. </w:t>
      </w:r>
    </w:p>
    <w:p w:rsidR="00442A24" w:rsidRPr="00CB67C4" w:rsidRDefault="00442A24" w:rsidP="00A3517A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20"/>
          <w:szCs w:val="20"/>
          <w:lang w:eastAsia="fr-FR"/>
        </w:rPr>
      </w:pPr>
    </w:p>
    <w:p w:rsidR="00442A24" w:rsidRPr="00CB67C4" w:rsidRDefault="00442A24" w:rsidP="00442A24">
      <w:pPr>
        <w:spacing w:after="0" w:line="240" w:lineRule="auto"/>
        <w:rPr>
          <w:rFonts w:ascii="ITC New Baskerville Std" w:hAnsi="ITC New Baskerville Std" w:cstheme="minorHAnsi"/>
          <w:i/>
          <w:sz w:val="24"/>
          <w:szCs w:val="24"/>
        </w:rPr>
      </w:pPr>
    </w:p>
    <w:p w:rsidR="00442A24" w:rsidRPr="00CB67C4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CB67C4">
        <w:rPr>
          <w:b/>
          <w:i w:val="0"/>
          <w:lang w:val="gl-ES"/>
        </w:rPr>
        <w:t>Definicións</w:t>
      </w:r>
    </w:p>
    <w:p w:rsidR="00442A24" w:rsidRPr="00CB67C4" w:rsidRDefault="00442A24" w:rsidP="00442A24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Queixa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expresión de insatisfacción feita a unha organización con respecto aos seus produtos ou servizos, ao propio proceso de tratamento das queixas, onde se espera unha resposta ou resolución explícita ou implícita.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(UNE- ISO 10002). 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CD7610" w:rsidRPr="00CB67C4" w:rsidRDefault="00CD7610" w:rsidP="00CD7610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Queix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 no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clasificable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comunicación dun usuario/a ou grupo de interese cuxa manifestación de satisfacción, insatisfacción ou recomendación non fai referencia a unidades ou procesos no ámbito deste procedemento e que, normalmente, </w:t>
      </w:r>
      <w:r w:rsidR="004F5FD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se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traslada a outro órgano ou unidade competente.</w:t>
      </w:r>
    </w:p>
    <w:p w:rsidR="00CD7610" w:rsidRPr="00CB67C4" w:rsidRDefault="00CD7610" w:rsidP="00CD7610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Xa que logo, non se considera, </w:t>
      </w:r>
      <w:r w:rsidR="004F5FD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para os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efectos deste procedemento, como unha QS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A41BC4" w:rsidRPr="00CB67C4" w:rsidRDefault="00CD7610" w:rsidP="00CD7610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3E40B2" w:rsidRPr="00CB67C4" w:rsidRDefault="00CD7610" w:rsidP="00A41BC4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Tamén se clasifican deste xeito as comunicacións das </w:t>
      </w:r>
      <w:r w:rsidR="004F5FD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cales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non se poida deducir ningún tipo de clasificación sobre o seu contido.</w:t>
      </w:r>
    </w:p>
    <w:p w:rsidR="00CD7610" w:rsidRPr="00CB67C4" w:rsidRDefault="00CD7610" w:rsidP="00CD7610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Suxestión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expresión onde se recomendan melloras nos produtos ou servizos prestados dunha organizac</w:t>
      </w:r>
      <w:r w:rsidR="00DD1A43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ión que non necesariamente provoca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insatisfacción ou descontento.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Parabén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expresión positiva e/ou de agradecemento respecto dos produtos e servizos prestados dunha organización.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Usuario/a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>: organización o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persoa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que recibe un produto o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un servi</w:t>
      </w:r>
      <w:r w:rsidR="00A41BC4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z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 (sinónimo de cliente</w:t>
      </w:r>
      <w:r w:rsidR="004F5FD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/a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). </w:t>
      </w:r>
    </w:p>
    <w:p w:rsidR="003E40B2" w:rsidRPr="00CB67C4" w:rsidRDefault="003E40B2" w:rsidP="003E40B2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(UNE-EN ISO 9000)</w:t>
      </w:r>
    </w:p>
    <w:p w:rsidR="003E40B2" w:rsidRPr="00CB67C4" w:rsidRDefault="00A41BC4" w:rsidP="003E40B2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uso d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t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rmo 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é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tradicional 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as administraci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ón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s públicas. 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Grupo de inter</w:t>
      </w:r>
      <w:r w:rsidR="00DD1A43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</w:t>
      </w:r>
      <w:r w:rsidR="00DD1A43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DD1A43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persoa ou grupo que ten un interese no desempeño ou no éxito dunha organización.</w:t>
      </w:r>
    </w:p>
    <w:p w:rsidR="003E40B2" w:rsidRPr="00CB67C4" w:rsidRDefault="003E40B2" w:rsidP="003E40B2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(UNE-EN ISO 9000)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3E40B2" w:rsidRPr="00CB67C4" w:rsidRDefault="003E40B2" w:rsidP="00DD1A43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Reclamación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DD1A43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queixa debida ao incumprimento dos requisitos do sistema de garantía / xestión de calidade ou dos compromisos establecidos nas cartas de servizos. Pode requirir medidas de </w:t>
      </w:r>
      <w:r w:rsid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emenda</w:t>
      </w:r>
      <w:r w:rsidR="00DD1A43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ou de compensación.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Reclamante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persoa, organización ou o seu representante, que expresa unha queixa ou reclamación.</w:t>
      </w:r>
    </w:p>
    <w:p w:rsidR="003E40B2" w:rsidRPr="00CB67C4" w:rsidRDefault="003E40B2" w:rsidP="003E40B2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 ISO 10002)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3E40B2" w:rsidRPr="00CB67C4" w:rsidRDefault="003E40B2" w:rsidP="00CB77ED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Retroalimentación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opinións, comentarios e mostras de interese </w:t>
      </w:r>
      <w:r w:rsidR="004F5FD9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acerca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dos produtos ou o proceso de tratamento das queixas.</w:t>
      </w:r>
    </w:p>
    <w:p w:rsidR="003E40B2" w:rsidRPr="00CB67C4" w:rsidRDefault="003E40B2" w:rsidP="003E40B2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 ISO 10002)</w:t>
      </w: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3E40B2" w:rsidRPr="00CB67C4" w:rsidRDefault="003E40B2" w:rsidP="00255BA0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Satisfacción d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cliente</w:t>
      </w:r>
      <w:r w:rsidR="00255BA0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(usuario ou grupo de interese)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percepción do cliente </w:t>
      </w:r>
      <w:r w:rsidR="00255BA0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(usuario ou grupo de interese)</w:t>
      </w:r>
      <w:r w:rsidR="00BC5BC0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sobre o gra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 en que se cumpriron os seus requisitos.</w:t>
      </w:r>
    </w:p>
    <w:p w:rsidR="003E40B2" w:rsidRPr="00CB67C4" w:rsidRDefault="003E40B2" w:rsidP="003E40B2">
      <w:pPr>
        <w:spacing w:after="0" w:line="240" w:lineRule="auto"/>
        <w:ind w:left="1440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(UNE-EN ISO 9000)</w:t>
      </w:r>
    </w:p>
    <w:p w:rsidR="00CB77ED" w:rsidRPr="00CB67C4" w:rsidRDefault="00CB77ED" w:rsidP="003E40B2">
      <w:pPr>
        <w:spacing w:after="0" w:line="240" w:lineRule="auto"/>
        <w:ind w:left="1440" w:firstLine="72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CB77ED" w:rsidRPr="00CB67C4" w:rsidRDefault="003E40B2" w:rsidP="00CB77ED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Demanda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: 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expresión en ton de esixencia de novos servizos ou ampliación dos existentes non </w:t>
      </w:r>
      <w:r w:rsidR="00450E3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recollidos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no sistema de garantía / xestión de calidade (non se pode dicir que estamos ante unha queixa ou reclamación</w:t>
      </w:r>
      <w:r w:rsidR="00F41EA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pois non se relacionan cunha percepción de prestación incorrecta dun servizo nin representan ningún incump</w:t>
      </w:r>
      <w:r w:rsidR="00313C8A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</w:t>
      </w:r>
      <w:r w:rsidR="00CB77ED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imento de requisitos, pero aínda así poden proporcionar información valiosa sobre as expectativas dos usuarios/as ou grupos de interese)</w:t>
      </w:r>
    </w:p>
    <w:p w:rsidR="00CB77ED" w:rsidRPr="00CB67C4" w:rsidRDefault="00CB77ED" w:rsidP="00CB77ED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CB77ED" w:rsidRPr="00CB67C4" w:rsidRDefault="00CB77ED" w:rsidP="00CB77ED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Nota 3: </w:t>
      </w:r>
      <w:r w:rsidR="00F41EA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 queixas dos grupos de interese son un indicador habitual dunha baixa satisfacción, pero a ausencia d</w:t>
      </w:r>
      <w:r w:rsidR="00313C8A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estas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non implica unha elevada satisfacción dos grupos de interese.</w:t>
      </w:r>
    </w:p>
    <w:p w:rsidR="00CB77ED" w:rsidRPr="00CB67C4" w:rsidRDefault="00CB77ED" w:rsidP="00CB77ED">
      <w:pPr>
        <w:spacing w:after="0" w:line="240" w:lineRule="auto"/>
        <w:ind w:left="2160"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Nota 4: </w:t>
      </w:r>
      <w:r w:rsidR="00F41EA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m</w:t>
      </w:r>
      <w:r w:rsidR="00313C8A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esmo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cando </w:t>
      </w:r>
      <w:r w:rsidR="00F41EAE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se acordaron con eles 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os requisitos dos grupos de interese e estes </w:t>
      </w:r>
      <w:r w:rsidR="00F41EA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se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cumpri</w:t>
      </w:r>
      <w:r w:rsidR="00F41EAE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ron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 isto non asegura unha elevada satisfacción dos grupos de interese.</w:t>
      </w:r>
      <w:r w:rsidR="003E40B2" w:rsidRPr="00CB67C4">
        <w:rPr>
          <w:rFonts w:ascii="ITC New Baskerville Std" w:hAnsi="ITC New Baskerville Std"/>
          <w:sz w:val="18"/>
          <w:szCs w:val="18"/>
        </w:rPr>
        <w:tab/>
      </w:r>
    </w:p>
    <w:p w:rsidR="003E40B2" w:rsidRPr="00CB67C4" w:rsidRDefault="003E40B2" w:rsidP="00CB77ED">
      <w:pPr>
        <w:spacing w:after="0" w:line="240" w:lineRule="auto"/>
        <w:ind w:left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hAnsi="ITC New Baskerville Std"/>
          <w:sz w:val="18"/>
          <w:szCs w:val="18"/>
        </w:rPr>
        <w:t>(Norma UNE-EN ISO 9000)</w:t>
      </w: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</w:p>
    <w:p w:rsidR="003E40B2" w:rsidRPr="00CB67C4" w:rsidRDefault="003E40B2" w:rsidP="003E40B2">
      <w:pPr>
        <w:tabs>
          <w:tab w:val="left" w:pos="2221"/>
        </w:tabs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3E40B2" w:rsidRPr="00CB67C4" w:rsidRDefault="003E40B2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3E40B2" w:rsidRPr="00CB67C4" w:rsidRDefault="00313C8A" w:rsidP="003E40B2">
      <w:pPr>
        <w:spacing w:after="0" w:line="240" w:lineRule="auto"/>
        <w:ind w:left="2160" w:hanging="2160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Comisións de titulación: comisións con responsabilidade no desenvolvemento da titulación (comisións académicas da titulación, de docencia, de coordinación de títulos impartidos en varios centros…).</w:t>
      </w:r>
      <w:r w:rsidR="003E40B2" w:rsidRPr="00CB67C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  <w:t xml:space="preserve"> </w:t>
      </w:r>
    </w:p>
    <w:p w:rsidR="003E40B2" w:rsidRPr="00CB67C4" w:rsidRDefault="008B0359" w:rsidP="003E40B2">
      <w:pPr>
        <w:spacing w:after="0" w:line="240" w:lineRule="auto"/>
        <w:ind w:left="2160"/>
        <w:jc w:val="both"/>
        <w:rPr>
          <w:rFonts w:ascii="ITC New Baskerville Std" w:hAnsi="ITC New Baskerville Std"/>
          <w:i/>
          <w:sz w:val="18"/>
          <w:szCs w:val="18"/>
        </w:rPr>
      </w:pPr>
      <w:r>
        <w:rPr>
          <w:rFonts w:ascii="ITC New Baskerville Std" w:hAnsi="ITC New Baskerville Std"/>
          <w:i/>
          <w:sz w:val="18"/>
          <w:szCs w:val="18"/>
        </w:rPr>
        <w:t>(Directrices xerais para o s</w:t>
      </w:r>
      <w:r w:rsidR="003E40B2" w:rsidRPr="00CB67C4">
        <w:rPr>
          <w:rFonts w:ascii="ITC New Baskerville Std" w:hAnsi="ITC New Baskerville Std"/>
          <w:i/>
          <w:sz w:val="18"/>
          <w:szCs w:val="18"/>
        </w:rPr>
        <w:t>eguimento de títulos oficiais de grao e m</w:t>
      </w:r>
      <w:r>
        <w:rPr>
          <w:rFonts w:ascii="ITC New Baskerville Std" w:hAnsi="ITC New Baskerville Std"/>
          <w:i/>
          <w:sz w:val="18"/>
          <w:szCs w:val="18"/>
        </w:rPr>
        <w:t>estrado</w:t>
      </w:r>
      <w:r w:rsidR="003E40B2" w:rsidRPr="00CB67C4">
        <w:rPr>
          <w:rFonts w:ascii="ITC New Baskerville Std" w:hAnsi="ITC New Baskerville Std"/>
          <w:i/>
          <w:sz w:val="18"/>
          <w:szCs w:val="18"/>
        </w:rPr>
        <w:t xml:space="preserve"> da Universidade de Vigo).</w:t>
      </w:r>
    </w:p>
    <w:p w:rsidR="00442A24" w:rsidRPr="00CB67C4" w:rsidRDefault="00442A24" w:rsidP="00A3517A">
      <w:pPr>
        <w:spacing w:after="0" w:line="240" w:lineRule="auto"/>
        <w:ind w:left="1440" w:hanging="1440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442A24" w:rsidRPr="00CB67C4" w:rsidRDefault="00442A24" w:rsidP="00A3517A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pStyle w:val="Estilo5"/>
        <w:numPr>
          <w:ilvl w:val="0"/>
          <w:numId w:val="0"/>
        </w:numPr>
        <w:ind w:left="3060" w:hanging="360"/>
        <w:rPr>
          <w:lang w:val="gl-ES"/>
        </w:rPr>
      </w:pPr>
    </w:p>
    <w:p w:rsidR="00442A24" w:rsidRPr="00CB67C4" w:rsidRDefault="00442A24" w:rsidP="00442A24">
      <w:pPr>
        <w:pStyle w:val="Estilo5"/>
        <w:ind w:left="567" w:hanging="567"/>
        <w:rPr>
          <w:b/>
          <w:i w:val="0"/>
          <w:lang w:val="gl-ES"/>
        </w:rPr>
      </w:pPr>
      <w:r w:rsidRPr="00CB67C4">
        <w:rPr>
          <w:b/>
          <w:i w:val="0"/>
          <w:lang w:val="gl-ES"/>
        </w:rPr>
        <w:t>Abreviaturas</w:t>
      </w:r>
      <w:r w:rsidR="007E473C" w:rsidRPr="00CB67C4">
        <w:rPr>
          <w:b/>
          <w:i w:val="0"/>
          <w:lang w:val="gl-ES"/>
        </w:rPr>
        <w:t xml:space="preserve"> e siglas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ACSUG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Axencia para a Calidade do Sistema Universitario de Galicia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ANECA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Axencia Nacional de Avaliación da Calidade e Acreditación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AQU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Agència per a la Qualitat del Sistema Universitari de Catalunya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B3385F" w:rsidRPr="00CB67C4" w:rsidRDefault="00B3385F" w:rsidP="00B3385F">
      <w:pPr>
        <w:spacing w:after="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CGIC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Comisión de Garantía Interna de Calidade</w:t>
      </w:r>
    </w:p>
    <w:p w:rsidR="00B3385F" w:rsidRPr="00CB67C4" w:rsidRDefault="00B3385F" w:rsidP="00B3385F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ind w:left="720" w:hanging="720"/>
        <w:jc w:val="both"/>
        <w:rPr>
          <w:rFonts w:ascii="ITC New Baskerville Std" w:hAnsi="ITC New Baskerville Std" w:cstheme="minorHAnsi"/>
          <w:sz w:val="18"/>
          <w:szCs w:val="18"/>
        </w:rPr>
      </w:pPr>
      <w:r w:rsidRPr="00CB67C4">
        <w:rPr>
          <w:rFonts w:ascii="ITC New Baskerville Std" w:hAnsi="ITC New Baskerville Std" w:cstheme="minorHAnsi"/>
          <w:sz w:val="18"/>
          <w:szCs w:val="18"/>
        </w:rPr>
        <w:t>- ENQA</w:t>
      </w:r>
      <w:r w:rsidRPr="00CB67C4">
        <w:rPr>
          <w:rFonts w:ascii="ITC New Baskerville Std" w:hAnsi="ITC New Baskerville Std" w:cstheme="minorHAnsi"/>
          <w:sz w:val="18"/>
          <w:szCs w:val="18"/>
        </w:rPr>
        <w:tab/>
        <w:t>: European Association for Quality Assurance in Higher Education (Rede Europea para a Garantía da Calidade na Educación Superior)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 xml:space="preserve">PAS 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7E473C" w:rsidRPr="00CB67C4">
        <w:rPr>
          <w:rFonts w:ascii="ITC New Baskerville Std" w:hAnsi="ITC New Baskerville Std"/>
          <w:sz w:val="18"/>
          <w:szCs w:val="18"/>
        </w:rPr>
        <w:t>p</w:t>
      </w:r>
      <w:r w:rsidRPr="00CB67C4">
        <w:rPr>
          <w:rFonts w:ascii="ITC New Baskerville Std" w:hAnsi="ITC New Baskerville Std"/>
          <w:sz w:val="18"/>
          <w:szCs w:val="18"/>
        </w:rPr>
        <w:t xml:space="preserve">ersoal de </w:t>
      </w:r>
      <w:r w:rsidR="007E473C" w:rsidRPr="00CB67C4">
        <w:rPr>
          <w:rFonts w:ascii="ITC New Baskerville Std" w:hAnsi="ITC New Baskerville Std"/>
          <w:sz w:val="18"/>
          <w:szCs w:val="18"/>
        </w:rPr>
        <w:t>a</w:t>
      </w:r>
      <w:r w:rsidRPr="00CB67C4">
        <w:rPr>
          <w:rFonts w:ascii="ITC New Baskerville Std" w:hAnsi="ITC New Baskerville Std"/>
          <w:sz w:val="18"/>
          <w:szCs w:val="18"/>
        </w:rPr>
        <w:t xml:space="preserve">dministración e </w:t>
      </w:r>
      <w:r w:rsidR="007E473C" w:rsidRPr="00CB67C4">
        <w:rPr>
          <w:rFonts w:ascii="ITC New Baskerville Std" w:hAnsi="ITC New Baskerville Std"/>
          <w:sz w:val="18"/>
          <w:szCs w:val="18"/>
        </w:rPr>
        <w:t>s</w:t>
      </w:r>
      <w:r w:rsidRPr="00CB67C4">
        <w:rPr>
          <w:rFonts w:ascii="ITC New Baskerville Std" w:hAnsi="ITC New Baskerville Std"/>
          <w:sz w:val="18"/>
          <w:szCs w:val="18"/>
        </w:rPr>
        <w:t>ervizos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7E473C" w:rsidRPr="00CB67C4">
        <w:rPr>
          <w:rFonts w:ascii="ITC New Baskerville Std" w:hAnsi="ITC New Baskerville Std"/>
          <w:sz w:val="18"/>
          <w:szCs w:val="18"/>
        </w:rPr>
        <w:t xml:space="preserve">PDI </w:t>
      </w:r>
      <w:r w:rsidR="007E473C" w:rsidRPr="00CB67C4">
        <w:rPr>
          <w:rFonts w:ascii="ITC New Baskerville Std" w:hAnsi="ITC New Baskerville Std"/>
          <w:sz w:val="18"/>
          <w:szCs w:val="18"/>
        </w:rPr>
        <w:tab/>
        <w:t>: p</w:t>
      </w:r>
      <w:r w:rsidRPr="00CB67C4">
        <w:rPr>
          <w:rFonts w:ascii="ITC New Baskerville Std" w:hAnsi="ITC New Baskerville Std"/>
          <w:sz w:val="18"/>
          <w:szCs w:val="18"/>
        </w:rPr>
        <w:t xml:space="preserve">ersoal </w:t>
      </w:r>
      <w:r w:rsidR="007E473C" w:rsidRPr="00CB67C4">
        <w:rPr>
          <w:rFonts w:ascii="ITC New Baskerville Std" w:hAnsi="ITC New Baskerville Std"/>
          <w:sz w:val="18"/>
          <w:szCs w:val="18"/>
        </w:rPr>
        <w:t>d</w:t>
      </w:r>
      <w:r w:rsidRPr="00CB67C4">
        <w:rPr>
          <w:rFonts w:ascii="ITC New Baskerville Std" w:hAnsi="ITC New Baskerville Std"/>
          <w:sz w:val="18"/>
          <w:szCs w:val="18"/>
        </w:rPr>
        <w:t xml:space="preserve">ocente e </w:t>
      </w:r>
      <w:r w:rsidR="007E473C" w:rsidRPr="00CB67C4">
        <w:rPr>
          <w:rFonts w:ascii="ITC New Baskerville Std" w:hAnsi="ITC New Baskerville Std"/>
          <w:sz w:val="18"/>
          <w:szCs w:val="18"/>
        </w:rPr>
        <w:t>i</w:t>
      </w:r>
      <w:r w:rsidRPr="00CB67C4">
        <w:rPr>
          <w:rFonts w:ascii="ITC New Baskerville Std" w:hAnsi="ITC New Baskerville Std"/>
          <w:sz w:val="18"/>
          <w:szCs w:val="18"/>
        </w:rPr>
        <w:t>nvestigador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>RD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Real </w:t>
      </w:r>
      <w:r w:rsidR="007E473C" w:rsidRPr="00CB67C4">
        <w:rPr>
          <w:rFonts w:ascii="ITC New Baskerville Std" w:hAnsi="ITC New Baskerville Std"/>
          <w:sz w:val="18"/>
          <w:szCs w:val="18"/>
        </w:rPr>
        <w:t>d</w:t>
      </w:r>
      <w:r w:rsidRPr="00CB67C4">
        <w:rPr>
          <w:rFonts w:ascii="ITC New Baskerville Std" w:hAnsi="ITC New Baskerville Std"/>
          <w:sz w:val="18"/>
          <w:szCs w:val="18"/>
        </w:rPr>
        <w:t>ecreto</w:t>
      </w:r>
    </w:p>
    <w:p w:rsidR="00442A24" w:rsidRPr="00CB67C4" w:rsidRDefault="00442A24" w:rsidP="00442A24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255BA0" w:rsidRPr="00CB67C4" w:rsidRDefault="00255BA0" w:rsidP="00255BA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>RR</w:t>
      </w:r>
      <w:r w:rsidRPr="00CB67C4">
        <w:rPr>
          <w:rFonts w:ascii="ITC New Baskerville Std" w:hAnsi="ITC New Baskerville Std"/>
          <w:sz w:val="18"/>
          <w:szCs w:val="18"/>
        </w:rPr>
        <w:tab/>
        <w:t>: Resolución reitoral</w:t>
      </w:r>
    </w:p>
    <w:p w:rsidR="00255BA0" w:rsidRPr="00CB67C4" w:rsidRDefault="00255BA0" w:rsidP="00255BA0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7B1128" w:rsidRPr="00CB67C4" w:rsidRDefault="007B1128" w:rsidP="007B1128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CB67C4">
        <w:rPr>
          <w:rFonts w:ascii="ITC New Baskerville Std" w:hAnsi="ITC New Baskerville Std"/>
          <w:sz w:val="18"/>
          <w:szCs w:val="18"/>
        </w:rPr>
        <w:t>SGIC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351AEA">
        <w:rPr>
          <w:rFonts w:ascii="ITC New Baskerville Std" w:hAnsi="ITC New Baskerville Std"/>
          <w:sz w:val="18"/>
          <w:szCs w:val="18"/>
        </w:rPr>
        <w:t>s</w:t>
      </w:r>
      <w:r w:rsidRPr="00CB67C4">
        <w:rPr>
          <w:rFonts w:ascii="ITC New Baskerville Std" w:hAnsi="ITC New Baskerville Std"/>
          <w:sz w:val="18"/>
          <w:szCs w:val="18"/>
        </w:rPr>
        <w:t>istema de garantía interna de calidade</w:t>
      </w:r>
    </w:p>
    <w:p w:rsidR="007B1128" w:rsidRPr="00CB67C4" w:rsidRDefault="007B1128" w:rsidP="007B1128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10ABE" w:rsidRPr="00CB67C4" w:rsidRDefault="00410ABE" w:rsidP="00410ABE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CB67C4">
        <w:rPr>
          <w:rFonts w:ascii="ITC New Baskerville Std" w:hAnsi="ITC New Baskerville Std"/>
          <w:sz w:val="18"/>
          <w:szCs w:val="18"/>
        </w:rPr>
        <w:t>-</w:t>
      </w:r>
      <w:r w:rsidRPr="00CB67C4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255BA0" w:rsidRPr="00CB67C4">
        <w:rPr>
          <w:rFonts w:ascii="ITC New Baskerville Std" w:hAnsi="ITC New Baskerville Std"/>
          <w:sz w:val="18"/>
          <w:szCs w:val="18"/>
        </w:rPr>
        <w:t>UEP</w:t>
      </w:r>
      <w:r w:rsidRPr="00CB67C4">
        <w:rPr>
          <w:rFonts w:ascii="ITC New Baskerville Std" w:hAnsi="ITC New Baskerville Std"/>
          <w:sz w:val="18"/>
          <w:szCs w:val="18"/>
        </w:rPr>
        <w:tab/>
        <w:t xml:space="preserve">: </w:t>
      </w:r>
      <w:r w:rsidR="00255BA0" w:rsidRPr="00CB67C4">
        <w:rPr>
          <w:rFonts w:ascii="ITC New Baskerville Std" w:hAnsi="ITC New Baskerville Std"/>
          <w:sz w:val="18"/>
          <w:szCs w:val="18"/>
        </w:rPr>
        <w:t>Unidade de Estudos e Programas</w:t>
      </w:r>
    </w:p>
    <w:p w:rsidR="00410ABE" w:rsidRPr="00CB67C4" w:rsidRDefault="00410ABE" w:rsidP="00410ABE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442A24" w:rsidRPr="00CB67C4" w:rsidRDefault="00442A24" w:rsidP="00442A24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  <w:lang w:val="gl-ES"/>
        </w:rPr>
      </w:pPr>
      <w:bookmarkStart w:id="4" w:name="_Toc348607832"/>
      <w:r w:rsidRPr="00CB67C4">
        <w:rPr>
          <w:rFonts w:ascii="ITC New Baskerville Std" w:hAnsi="ITC New Baskerville Std"/>
          <w:b w:val="0"/>
          <w:lang w:val="gl-ES"/>
        </w:rPr>
        <w:t>IV DESENVOLVEMENTO</w:t>
      </w:r>
      <w:bookmarkEnd w:id="4"/>
    </w:p>
    <w:p w:rsidR="00442A24" w:rsidRPr="00CB67C4" w:rsidRDefault="00442A24" w:rsidP="00442A24">
      <w:pPr>
        <w:spacing w:after="120"/>
        <w:ind w:left="-284"/>
        <w:rPr>
          <w:rFonts w:ascii="ITC New Baskerville Std" w:hAnsi="ITC New Baskerville Std"/>
          <w:b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lastRenderedPageBreak/>
        <w:t>Finalidade do proceso</w:t>
      </w:r>
    </w:p>
    <w:p w:rsidR="00255BA0" w:rsidRPr="00CB67C4" w:rsidRDefault="00255BA0" w:rsidP="00255BA0">
      <w:pPr>
        <w:spacing w:after="0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ab/>
      </w:r>
    </w:p>
    <w:p w:rsidR="0038765F" w:rsidRPr="00CB67C4" w:rsidRDefault="00255BA0" w:rsidP="00255BA0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Contribuír ao</w:t>
      </w:r>
      <w:r w:rsidR="000B09DC">
        <w:rPr>
          <w:rFonts w:ascii="ITC New Baskerville Std" w:hAnsi="ITC New Baskerville Std"/>
          <w:sz w:val="20"/>
          <w:szCs w:val="20"/>
        </w:rPr>
        <w:t xml:space="preserve"> incremento da satisfacción d</w:t>
      </w:r>
      <w:r w:rsidR="006375FF">
        <w:rPr>
          <w:rFonts w:ascii="ITC New Baskerville Std" w:hAnsi="ITC New Baskerville Std"/>
          <w:sz w:val="20"/>
          <w:szCs w:val="20"/>
        </w:rPr>
        <w:t>os</w:t>
      </w:r>
      <w:r w:rsidR="00351AEA">
        <w:rPr>
          <w:rFonts w:ascii="ITC New Baskerville Std" w:hAnsi="ITC New Baskerville Std"/>
          <w:sz w:val="20"/>
          <w:szCs w:val="20"/>
        </w:rPr>
        <w:t>/as</w:t>
      </w:r>
      <w:r w:rsidRPr="00CB67C4">
        <w:rPr>
          <w:rFonts w:ascii="ITC New Baskerville Std" w:hAnsi="ITC New Baskerville Std"/>
          <w:sz w:val="20"/>
          <w:szCs w:val="20"/>
        </w:rPr>
        <w:t xml:space="preserve"> </w:t>
      </w:r>
      <w:r w:rsidR="000B09DC" w:rsidRPr="000B09DC">
        <w:rPr>
          <w:rFonts w:ascii="ITC New Baskerville Std" w:hAnsi="ITC New Baskerville Std"/>
          <w:sz w:val="20"/>
          <w:szCs w:val="20"/>
        </w:rPr>
        <w:t>usuari</w:t>
      </w:r>
      <w:r w:rsidR="006375FF">
        <w:rPr>
          <w:rFonts w:ascii="ITC New Baskerville Std" w:hAnsi="ITC New Baskerville Std"/>
          <w:sz w:val="20"/>
          <w:szCs w:val="20"/>
        </w:rPr>
        <w:t>os/</w:t>
      </w:r>
      <w:r w:rsidR="000B09DC" w:rsidRPr="000B09DC">
        <w:rPr>
          <w:rFonts w:ascii="ITC New Baskerville Std" w:hAnsi="ITC New Baskerville Std"/>
          <w:sz w:val="20"/>
          <w:szCs w:val="20"/>
        </w:rPr>
        <w:t>as</w:t>
      </w:r>
      <w:r w:rsidRPr="00CB67C4">
        <w:rPr>
          <w:rFonts w:ascii="ITC New Baskerville Std" w:hAnsi="ITC New Baskerville Std"/>
          <w:sz w:val="20"/>
          <w:szCs w:val="20"/>
        </w:rPr>
        <w:t xml:space="preserve"> ou grupos de interese a través dun tratamento eficaz das queixas, suxestións e parabéns, </w:t>
      </w:r>
      <w:r w:rsidR="00351AEA">
        <w:rPr>
          <w:rFonts w:ascii="ITC New Baskerville Std" w:hAnsi="ITC New Baskerville Std"/>
          <w:sz w:val="20"/>
          <w:szCs w:val="20"/>
        </w:rPr>
        <w:t>impulsando</w:t>
      </w:r>
      <w:r w:rsidRPr="00CB67C4">
        <w:rPr>
          <w:rFonts w:ascii="ITC New Baskerville Std" w:hAnsi="ITC New Baskerville Std"/>
          <w:sz w:val="20"/>
          <w:szCs w:val="20"/>
        </w:rPr>
        <w:t xml:space="preserve"> así a estratexia de mellora continua e a participación destes nas actividades da xestión de calidade.</w:t>
      </w:r>
    </w:p>
    <w:p w:rsidR="0038765F" w:rsidRPr="00CB67C4" w:rsidRDefault="0038765F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Responsable do proceso</w:t>
      </w:r>
    </w:p>
    <w:p w:rsidR="00442A24" w:rsidRPr="00CB67C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F44167" w:rsidRPr="00CB67C4" w:rsidRDefault="00F44167" w:rsidP="00F2623B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Coordinador/a da Unidade de Estudos e Programas (ámbito de xestión)</w:t>
      </w:r>
    </w:p>
    <w:p w:rsidR="00F44167" w:rsidRPr="00CB67C4" w:rsidRDefault="000B09DC" w:rsidP="00F2623B">
      <w:pPr>
        <w:pStyle w:val="Prrafodelista"/>
        <w:numPr>
          <w:ilvl w:val="0"/>
          <w:numId w:val="3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Vicedecana</w:t>
      </w:r>
      <w:r w:rsidR="00895794">
        <w:rPr>
          <w:rFonts w:ascii="ITC New Baskerville Std" w:hAnsi="ITC New Baskerville Std"/>
          <w:sz w:val="20"/>
          <w:szCs w:val="20"/>
        </w:rPr>
        <w:t>t</w:t>
      </w:r>
      <w:r>
        <w:rPr>
          <w:rFonts w:ascii="ITC New Baskerville Std" w:hAnsi="ITC New Baskerville Std"/>
          <w:sz w:val="20"/>
          <w:szCs w:val="20"/>
        </w:rPr>
        <w:t>o</w:t>
      </w:r>
      <w:r w:rsidR="00F44167" w:rsidRPr="00CB67C4">
        <w:rPr>
          <w:rFonts w:ascii="ITC New Baskerville Std" w:hAnsi="ITC New Baskerville Std"/>
          <w:sz w:val="20"/>
          <w:szCs w:val="20"/>
        </w:rPr>
        <w:t xml:space="preserve"> ou subdirec</w:t>
      </w:r>
      <w:r w:rsidR="00895794">
        <w:rPr>
          <w:rFonts w:ascii="ITC New Baskerville Std" w:hAnsi="ITC New Baskerville Std"/>
          <w:sz w:val="20"/>
          <w:szCs w:val="20"/>
        </w:rPr>
        <w:t>ción</w:t>
      </w:r>
      <w:r w:rsidR="00F44167" w:rsidRPr="00CB67C4">
        <w:rPr>
          <w:rFonts w:ascii="ITC New Baskerville Std" w:hAnsi="ITC New Baskerville Std"/>
          <w:sz w:val="20"/>
          <w:szCs w:val="20"/>
        </w:rPr>
        <w:t xml:space="preserve"> con competencias en calidad</w:t>
      </w:r>
      <w:r w:rsidR="00CB67C4">
        <w:rPr>
          <w:rFonts w:ascii="ITC New Baskerville Std" w:hAnsi="ITC New Baskerville Std"/>
          <w:sz w:val="20"/>
          <w:szCs w:val="20"/>
        </w:rPr>
        <w:t>e</w:t>
      </w:r>
      <w:r w:rsidR="00F44167" w:rsidRPr="00CB67C4">
        <w:rPr>
          <w:rFonts w:ascii="ITC New Baskerville Std" w:hAnsi="ITC New Baskerville Std"/>
          <w:sz w:val="20"/>
          <w:szCs w:val="20"/>
        </w:rPr>
        <w:t xml:space="preserve"> (ámbito docente)</w:t>
      </w:r>
    </w:p>
    <w:p w:rsidR="00442A24" w:rsidRPr="00CB67C4" w:rsidRDefault="00442A24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F44167" w:rsidRPr="00CB67C4" w:rsidRDefault="00F44167" w:rsidP="00442A24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Indicadores</w:t>
      </w:r>
    </w:p>
    <w:p w:rsidR="00442A24" w:rsidRPr="00CB67C4" w:rsidRDefault="00442A24" w:rsidP="00442A24">
      <w:pPr>
        <w:spacing w:after="0"/>
        <w:rPr>
          <w:rFonts w:ascii="ITC New Baskerville Std" w:hAnsi="ITC New Baskerville Std"/>
          <w:sz w:val="20"/>
          <w:szCs w:val="20"/>
        </w:rPr>
      </w:pPr>
    </w:p>
    <w:p w:rsidR="00442A24" w:rsidRPr="00CB67C4" w:rsidRDefault="00442A24" w:rsidP="00442A24">
      <w:pPr>
        <w:spacing w:after="120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hAnsi="ITC New Baskerville Std"/>
          <w:sz w:val="20"/>
          <w:szCs w:val="20"/>
        </w:rPr>
        <w:t>Os indicadores asociados a este proceso están identificados e definidos no procedemento DE-02 P1 «</w:t>
      </w:r>
      <w:r w:rsidR="00C567AD" w:rsidRPr="00CB67C4">
        <w:rPr>
          <w:rFonts w:ascii="ITC New Baskerville Std" w:hAnsi="ITC New Baskerville Std"/>
          <w:sz w:val="20"/>
          <w:szCs w:val="20"/>
        </w:rPr>
        <w:t>Seguimento e medición</w:t>
      </w:r>
      <w:r w:rsidRPr="00CB67C4">
        <w:rPr>
          <w:rFonts w:ascii="ITC New Baskerville Std" w:hAnsi="ITC New Baskerville Std"/>
          <w:sz w:val="20"/>
          <w:szCs w:val="20"/>
        </w:rPr>
        <w:t>».</w:t>
      </w:r>
    </w:p>
    <w:p w:rsidR="00F44167" w:rsidRPr="00CB67C4" w:rsidRDefault="00F44167" w:rsidP="00442A24">
      <w:pPr>
        <w:spacing w:after="120"/>
        <w:jc w:val="both"/>
        <w:rPr>
          <w:rFonts w:ascii="ITC New Baskerville Std" w:hAnsi="ITC New Baskerville Std"/>
          <w:i/>
          <w:sz w:val="20"/>
          <w:szCs w:val="20"/>
        </w:rPr>
      </w:pPr>
    </w:p>
    <w:p w:rsidR="00442A24" w:rsidRPr="00CB67C4" w:rsidRDefault="00442A24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Diagrama de fluxo</w:t>
      </w:r>
    </w:p>
    <w:p w:rsidR="00442A24" w:rsidRPr="00CB67C4" w:rsidRDefault="00442A24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3E609D" w:rsidRPr="00CB67C4" w:rsidRDefault="003E609D" w:rsidP="00442A24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CB67C4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Pr="00CB67C4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742D8" w:rsidRDefault="004742D8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665D03" w:rsidP="00665D03">
      <w:pPr>
        <w:pStyle w:val="Prrafodelista"/>
        <w:tabs>
          <w:tab w:val="left" w:pos="2694"/>
        </w:tabs>
        <w:spacing w:after="0" w:line="240" w:lineRule="auto"/>
        <w:ind w:left="0"/>
        <w:rPr>
          <w:rFonts w:ascii="ITC New Baskerville Std" w:hAnsi="ITC New Baskerville Std"/>
          <w:i/>
          <w:sz w:val="24"/>
        </w:rPr>
      </w:pPr>
      <w:r>
        <w:object w:dxaOrig="11235" w:dyaOrig="1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pt;height:656.15pt" o:ole="">
            <v:imagedata r:id="rId10" o:title=""/>
          </v:shape>
          <o:OLEObject Type="Embed" ProgID="Visio.Drawing.15" ShapeID="_x0000_i1025" DrawAspect="Content" ObjectID="_1477296452" r:id="rId11"/>
        </w:object>
      </w:r>
    </w:p>
    <w:p w:rsidR="00BE29C3" w:rsidRDefault="00665D03" w:rsidP="00665D03">
      <w:pPr>
        <w:pStyle w:val="Prrafodelista"/>
        <w:tabs>
          <w:tab w:val="left" w:pos="2694"/>
        </w:tabs>
        <w:spacing w:after="0" w:line="240" w:lineRule="auto"/>
        <w:ind w:left="0"/>
        <w:rPr>
          <w:rFonts w:ascii="ITC New Baskerville Std" w:hAnsi="ITC New Baskerville Std"/>
          <w:i/>
          <w:sz w:val="24"/>
        </w:rPr>
      </w:pPr>
      <w:r>
        <w:object w:dxaOrig="13140" w:dyaOrig="15975">
          <v:shape id="_x0000_i1026" type="#_x0000_t75" style="width:481.6pt;height:585.5pt" o:ole="">
            <v:imagedata r:id="rId12" o:title=""/>
          </v:shape>
          <o:OLEObject Type="Embed" ProgID="Visio.Drawing.15" ShapeID="_x0000_i1026" DrawAspect="Content" ObjectID="_1477296453" r:id="rId13"/>
        </w:object>
      </w: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665D03" w:rsidP="00665D03">
      <w:pPr>
        <w:pStyle w:val="Prrafodelista"/>
        <w:tabs>
          <w:tab w:val="left" w:pos="2694"/>
        </w:tabs>
        <w:spacing w:after="0" w:line="240" w:lineRule="auto"/>
        <w:ind w:left="0"/>
        <w:rPr>
          <w:rFonts w:ascii="ITC New Baskerville Std" w:hAnsi="ITC New Baskerville Std"/>
          <w:i/>
          <w:sz w:val="24"/>
        </w:rPr>
      </w:pPr>
      <w:r>
        <w:object w:dxaOrig="13095" w:dyaOrig="12915">
          <v:shape id="_x0000_i1027" type="#_x0000_t75" style="width:488.4pt;height:481.6pt" o:ole="">
            <v:imagedata r:id="rId14" o:title=""/>
          </v:shape>
          <o:OLEObject Type="Embed" ProgID="Visio.Drawing.15" ShapeID="_x0000_i1027" DrawAspect="Content" ObjectID="_1477296454" r:id="rId15"/>
        </w:object>
      </w: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65D03" w:rsidRDefault="00665D0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65D03" w:rsidRDefault="00665D0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65D03" w:rsidRDefault="00665D0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65D03" w:rsidRDefault="00665D0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65D03" w:rsidRDefault="00665D0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665D03" w:rsidRDefault="00665D0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BE29C3" w:rsidRDefault="00BE29C3" w:rsidP="004742D8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4E2C41" w:rsidRPr="00CB67C4" w:rsidRDefault="004E2C41" w:rsidP="004E2C41">
      <w:pPr>
        <w:spacing w:after="120"/>
        <w:ind w:left="-284"/>
        <w:jc w:val="both"/>
        <w:rPr>
          <w:rFonts w:ascii="ITC New Baskerville Std" w:hAnsi="ITC New Baskerville Std"/>
        </w:rPr>
      </w:pPr>
      <w:r w:rsidRPr="00CB67C4">
        <w:rPr>
          <w:rFonts w:ascii="ITC New Baskerville Std" w:hAnsi="ITC New Baskerville Std"/>
        </w:rPr>
        <w:lastRenderedPageBreak/>
        <w:t xml:space="preserve">Comentarios: </w:t>
      </w:r>
    </w:p>
    <w:p w:rsidR="00F44167" w:rsidRPr="00CB67C4" w:rsidRDefault="00F44167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10: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comunicación da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</w:p>
    <w:p w:rsidR="00F44167" w:rsidRPr="00CB67C4" w:rsidRDefault="00F44167" w:rsidP="00F4416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987501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usuario/a pode ser individual </w:t>
      </w:r>
      <w:r w:rsidRPr="0031303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ou colectivo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segundo a tipificación definida deseguido:</w:t>
      </w:r>
    </w:p>
    <w:p w:rsidR="00987501" w:rsidRPr="00CB67C4" w:rsidRDefault="00987501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tbl>
      <w:tblPr>
        <w:tblW w:w="5783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V w:val="single" w:sz="4" w:space="0" w:color="4BACC6" w:themeColor="accent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3"/>
      </w:tblGrid>
      <w:tr w:rsidR="00F44167" w:rsidRPr="00CB67C4" w:rsidTr="00987501">
        <w:trPr>
          <w:jc w:val="center"/>
        </w:trPr>
        <w:tc>
          <w:tcPr>
            <w:tcW w:w="5783" w:type="dxa"/>
            <w:tcBorders>
              <w:top w:val="single" w:sz="4" w:space="0" w:color="4BACC6" w:themeColor="accent5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6375FF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b/>
                <w:bCs/>
                <w:sz w:val="20"/>
                <w:szCs w:val="20"/>
              </w:rPr>
            </w:pPr>
            <w:r>
              <w:rPr>
                <w:rFonts w:ascii="ITC New Baskerville Std" w:hAnsi="ITC New Baskerville Std"/>
                <w:b/>
                <w:bCs/>
                <w:sz w:val="20"/>
                <w:szCs w:val="20"/>
              </w:rPr>
              <w:t>Usuarias/os</w:t>
            </w:r>
          </w:p>
          <w:p w:rsidR="00F44167" w:rsidRPr="00CB67C4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bCs/>
                <w:sz w:val="10"/>
                <w:szCs w:val="10"/>
              </w:rPr>
            </w:pPr>
          </w:p>
        </w:tc>
      </w:tr>
      <w:tr w:rsidR="00F44167" w:rsidRPr="00CB67C4" w:rsidTr="00987501">
        <w:trPr>
          <w:jc w:val="center"/>
        </w:trPr>
        <w:tc>
          <w:tcPr>
            <w:tcW w:w="5783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6375FF" w:rsidP="006375FF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  <w:r>
              <w:rPr>
                <w:rFonts w:ascii="ITC New Baskerville Std" w:hAnsi="ITC New Baskerville Std"/>
                <w:bCs/>
                <w:sz w:val="20"/>
                <w:szCs w:val="20"/>
              </w:rPr>
              <w:t>I</w:t>
            </w:r>
            <w:r w:rsidR="00F44167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ntern</w:t>
            </w:r>
            <w:r>
              <w:rPr>
                <w:rFonts w:ascii="ITC New Baskerville Std" w:hAnsi="ITC New Baskerville Std"/>
                <w:bCs/>
                <w:sz w:val="20"/>
                <w:szCs w:val="20"/>
              </w:rPr>
              <w:t>a</w:t>
            </w:r>
            <w:r w:rsidR="00F44167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s/</w:t>
            </w:r>
            <w:r>
              <w:rPr>
                <w:rFonts w:ascii="ITC New Baskerville Std" w:hAnsi="ITC New Baskerville Std"/>
                <w:bCs/>
                <w:sz w:val="20"/>
                <w:szCs w:val="20"/>
              </w:rPr>
              <w:t>o</w:t>
            </w:r>
            <w:r w:rsidR="00F44167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s</w:t>
            </w:r>
          </w:p>
        </w:tc>
      </w:tr>
      <w:tr w:rsidR="00F44167" w:rsidRPr="00CB67C4" w:rsidTr="00987501">
        <w:trPr>
          <w:jc w:val="center"/>
        </w:trPr>
        <w:tc>
          <w:tcPr>
            <w:tcW w:w="5783" w:type="dxa"/>
            <w:tcBorders>
              <w:top w:val="nil"/>
              <w:bottom w:val="nil"/>
            </w:tcBorders>
            <w:shd w:val="clear" w:color="auto" w:fill="auto"/>
          </w:tcPr>
          <w:p w:rsidR="00F44167" w:rsidRPr="00CB67C4" w:rsidRDefault="00987501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>Estud</w:t>
            </w:r>
            <w:r w:rsidR="00F44167" w:rsidRPr="00CB67C4">
              <w:rPr>
                <w:rFonts w:ascii="ITC New Baskerville Std" w:hAnsi="ITC New Baskerville Std"/>
                <w:sz w:val="20"/>
                <w:szCs w:val="20"/>
              </w:rPr>
              <w:t>ante de grao o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 xml:space="preserve">u </w:t>
            </w:r>
            <w:r w:rsidR="00351AEA">
              <w:rPr>
                <w:rFonts w:ascii="ITC New Baskerville Std" w:hAnsi="ITC New Baskerville Std"/>
                <w:sz w:val="20"/>
                <w:szCs w:val="20"/>
              </w:rPr>
              <w:t xml:space="preserve">de </w:t>
            </w:r>
            <w:r w:rsidR="00F44167" w:rsidRPr="00CB67C4">
              <w:rPr>
                <w:rFonts w:ascii="ITC New Baskerville Std" w:hAnsi="ITC New Baskerville Std"/>
                <w:sz w:val="20"/>
                <w:szCs w:val="20"/>
              </w:rPr>
              <w:t xml:space="preserve">1º 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F44167" w:rsidRPr="00CB67C4">
              <w:rPr>
                <w:rFonts w:ascii="ITC New Baskerville Std" w:hAnsi="ITC New Baskerville Std"/>
                <w:sz w:val="20"/>
                <w:szCs w:val="20"/>
              </w:rPr>
              <w:t xml:space="preserve"> 2º ciclo</w:t>
            </w:r>
          </w:p>
          <w:p w:rsidR="00F44167" w:rsidRPr="00CB67C4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 xml:space="preserve">Estudante de </w:t>
            </w:r>
            <w:r w:rsidR="00351AEA">
              <w:rPr>
                <w:rFonts w:ascii="ITC New Baskerville Std" w:hAnsi="ITC New Baskerville Std"/>
                <w:sz w:val="20"/>
                <w:szCs w:val="20"/>
              </w:rPr>
              <w:t>mestrado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 xml:space="preserve"> o</w:t>
            </w:r>
            <w:r w:rsidR="00987501" w:rsidRPr="00CB67C4">
              <w:rPr>
                <w:rFonts w:ascii="ITC New Baskerville Std" w:hAnsi="ITC New Baskerville Std"/>
                <w:sz w:val="20"/>
                <w:szCs w:val="20"/>
              </w:rPr>
              <w:t>u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="0031303F">
              <w:rPr>
                <w:rFonts w:ascii="ITC New Baskerville Std" w:hAnsi="ITC New Baskerville Std"/>
                <w:sz w:val="20"/>
                <w:szCs w:val="20"/>
              </w:rPr>
              <w:t>d</w:t>
            </w:r>
            <w:r w:rsidR="00987501" w:rsidRPr="00CB67C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 xml:space="preserve"> do</w:t>
            </w:r>
            <w:r w:rsidR="00987501" w:rsidRPr="00CB67C4">
              <w:rPr>
                <w:rFonts w:ascii="ITC New Baskerville Std" w:hAnsi="ITC New Baskerville Std"/>
                <w:sz w:val="20"/>
                <w:szCs w:val="20"/>
              </w:rPr>
              <w:t>u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tora</w:t>
            </w:r>
            <w:r w:rsidR="00987501" w:rsidRPr="00CB67C4">
              <w:rPr>
                <w:rFonts w:ascii="ITC New Baskerville Std" w:hAnsi="ITC New Baskerville Std"/>
                <w:sz w:val="20"/>
                <w:szCs w:val="20"/>
              </w:rPr>
              <w:t>mento</w:t>
            </w:r>
          </w:p>
          <w:p w:rsidR="00F44167" w:rsidRPr="00CB67C4" w:rsidRDefault="00987501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>Estud</w:t>
            </w:r>
            <w:r w:rsidR="00F44167" w:rsidRPr="00CB67C4">
              <w:rPr>
                <w:rFonts w:ascii="ITC New Baskerville Std" w:hAnsi="ITC New Baskerville Std"/>
                <w:sz w:val="20"/>
                <w:szCs w:val="20"/>
              </w:rPr>
              <w:t>ante d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outros estud</w:t>
            </w:r>
            <w:r w:rsidR="00F44167" w:rsidRPr="00CB67C4">
              <w:rPr>
                <w:rFonts w:ascii="ITC New Baskerville Std" w:hAnsi="ITC New Baskerville Std"/>
                <w:sz w:val="20"/>
                <w:szCs w:val="20"/>
              </w:rPr>
              <w:t>os propios da Universidad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F44167" w:rsidRPr="00CB67C4">
              <w:rPr>
                <w:rFonts w:ascii="ITC New Baskerville Std" w:hAnsi="ITC New Baskerville Std"/>
                <w:sz w:val="20"/>
                <w:szCs w:val="20"/>
              </w:rPr>
              <w:t xml:space="preserve"> de Vigo</w:t>
            </w:r>
          </w:p>
          <w:p w:rsidR="00F44167" w:rsidRPr="00CB67C4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>PDI</w:t>
            </w:r>
          </w:p>
          <w:p w:rsidR="00F44167" w:rsidRPr="00CB67C4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>PAS</w:t>
            </w:r>
          </w:p>
          <w:p w:rsidR="00F44167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>O</w:t>
            </w:r>
            <w:r w:rsidR="00987501" w:rsidRPr="00CB67C4">
              <w:rPr>
                <w:rFonts w:ascii="ITC New Baskerville Std" w:hAnsi="ITC New Baskerville Std"/>
                <w:sz w:val="20"/>
                <w:szCs w:val="20"/>
              </w:rPr>
              <w:t>u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tros internos (especif</w:t>
            </w:r>
            <w:r w:rsidR="00351AEA">
              <w:rPr>
                <w:rFonts w:ascii="ITC New Baskerville Std" w:hAnsi="ITC New Baskerville Std"/>
                <w:sz w:val="20"/>
                <w:szCs w:val="20"/>
              </w:rPr>
              <w:t>íquese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  <w:p w:rsidR="006375FF" w:rsidRPr="00CB67C4" w:rsidRDefault="006375FF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  <w:tr w:rsidR="00F44167" w:rsidRPr="00CB67C4" w:rsidTr="00987501">
        <w:trPr>
          <w:jc w:val="center"/>
        </w:trPr>
        <w:tc>
          <w:tcPr>
            <w:tcW w:w="5783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6375FF" w:rsidP="006375FF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  <w:r>
              <w:rPr>
                <w:rFonts w:ascii="ITC New Baskerville Std" w:hAnsi="ITC New Baskerville Std"/>
                <w:bCs/>
                <w:sz w:val="20"/>
                <w:szCs w:val="20"/>
              </w:rPr>
              <w:t>Externa</w:t>
            </w:r>
            <w:r w:rsidR="00F44167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s/</w:t>
            </w:r>
            <w:r>
              <w:rPr>
                <w:rFonts w:ascii="ITC New Baskerville Std" w:hAnsi="ITC New Baskerville Std"/>
                <w:bCs/>
                <w:sz w:val="20"/>
                <w:szCs w:val="20"/>
              </w:rPr>
              <w:t>o</w:t>
            </w:r>
            <w:r w:rsidR="00F44167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s</w:t>
            </w:r>
          </w:p>
        </w:tc>
      </w:tr>
      <w:tr w:rsidR="00F44167" w:rsidRPr="00CB67C4" w:rsidTr="00987501">
        <w:trPr>
          <w:jc w:val="center"/>
        </w:trPr>
        <w:tc>
          <w:tcPr>
            <w:tcW w:w="5783" w:type="dxa"/>
            <w:tcBorders>
              <w:top w:val="nil"/>
              <w:bottom w:val="single" w:sz="4" w:space="0" w:color="4BACC6" w:themeColor="accent5"/>
            </w:tcBorders>
            <w:shd w:val="clear" w:color="auto" w:fill="auto"/>
          </w:tcPr>
          <w:p w:rsidR="00F44167" w:rsidRPr="00CB67C4" w:rsidRDefault="00F44167" w:rsidP="0031303F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31303F">
              <w:rPr>
                <w:rFonts w:ascii="ITC New Baskerville Std" w:hAnsi="ITC New Baskerville Std"/>
                <w:sz w:val="20"/>
                <w:szCs w:val="20"/>
              </w:rPr>
              <w:t xml:space="preserve">Empresa </w:t>
            </w:r>
          </w:p>
          <w:p w:rsidR="00F44167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sz w:val="20"/>
                <w:szCs w:val="20"/>
              </w:rPr>
              <w:t>O</w:t>
            </w:r>
            <w:r w:rsidR="00987501" w:rsidRPr="00CB67C4">
              <w:rPr>
                <w:rFonts w:ascii="ITC New Baskerville Std" w:hAnsi="ITC New Baskerville Std"/>
                <w:sz w:val="20"/>
                <w:szCs w:val="20"/>
              </w:rPr>
              <w:t>u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tros externos (</w:t>
            </w:r>
            <w:r w:rsidR="00351AEA" w:rsidRPr="00351AEA">
              <w:rPr>
                <w:rFonts w:ascii="ITC New Baskerville Std" w:hAnsi="ITC New Baskerville Std"/>
                <w:sz w:val="20"/>
                <w:szCs w:val="20"/>
              </w:rPr>
              <w:t>especifíquese</w:t>
            </w:r>
            <w:r w:rsidRPr="00CB67C4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  <w:p w:rsidR="006375FF" w:rsidRPr="00CB67C4" w:rsidRDefault="006375FF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sz w:val="20"/>
                <w:szCs w:val="20"/>
              </w:rPr>
            </w:pPr>
          </w:p>
        </w:tc>
      </w:tr>
    </w:tbl>
    <w:p w:rsidR="00F44167" w:rsidRPr="00CB67C4" w:rsidRDefault="00F44167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31303F" w:rsidRDefault="0031303F" w:rsidP="0031303F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QSP colectivas deberán ser rexistradas por unha persoa representante identificada, que debe xuntar na aplicación a listaxe de todas as persoas implicadas.</w:t>
      </w:r>
    </w:p>
    <w:p w:rsidR="0031303F" w:rsidRDefault="0031303F" w:rsidP="0031303F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987501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tipificación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é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única para cada comunicación.</w:t>
      </w:r>
    </w:p>
    <w:p w:rsidR="00F44167" w:rsidRDefault="00F44167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31303F" w:rsidRDefault="0031303F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 linguas que se empregan neste sistema son o galego, o castelán e o inglés.</w:t>
      </w:r>
    </w:p>
    <w:p w:rsidR="0031303F" w:rsidRPr="00CB67C4" w:rsidRDefault="0031303F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QSP pode incluír os documentos adxuntos que o usuario/a considere oportunos. </w:t>
      </w:r>
    </w:p>
    <w:p w:rsidR="00F44167" w:rsidRDefault="00F44167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762CA" w:rsidRPr="00CB67C4" w:rsidRDefault="007762CA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F44167" w:rsidP="00F2623B">
      <w:pPr>
        <w:pStyle w:val="Prrafodelista"/>
        <w:numPr>
          <w:ilvl w:val="0"/>
          <w:numId w:val="5"/>
        </w:numPr>
        <w:spacing w:after="0"/>
        <w:ind w:left="0" w:hanging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20: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recepción d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re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istro automático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codificación (aplicación informática)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CB67C4" w:rsidRDefault="00F44167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7762CA" w:rsidRDefault="00F44167" w:rsidP="00F44167">
      <w:pPr>
        <w:spacing w:after="0" w:line="240" w:lineRule="auto"/>
        <w:contextualSpacing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7762C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Protección de datos de carácter persoal:</w:t>
      </w:r>
    </w:p>
    <w:p w:rsidR="00987501" w:rsidRPr="00CB67C4" w:rsidRDefault="00987501" w:rsidP="00987501">
      <w:pPr>
        <w:spacing w:after="0" w:line="240" w:lineRule="auto"/>
        <w:ind w:right="708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datos de carácter persoal non se </w:t>
      </w:r>
      <w:r w:rsidR="00351AE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lles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esixen aos usuarios/as do sistema de QSP, agás que estes desexen que se lles comunique unha resposta.</w:t>
      </w:r>
    </w:p>
    <w:p w:rsidR="00987501" w:rsidRPr="00CB67C4" w:rsidRDefault="00987501" w:rsidP="00987501">
      <w:pPr>
        <w:spacing w:after="0" w:line="240" w:lineRule="auto"/>
        <w:ind w:left="426" w:right="708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87501" w:rsidRPr="00CB67C4" w:rsidRDefault="00987501" w:rsidP="00987501">
      <w:pPr>
        <w:spacing w:after="0" w:line="240" w:lineRule="auto"/>
        <w:ind w:right="708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Nos formatos de calquera tipo onde se realice unha comunicación cos usuarios/as deste sistema incluirase a seguinte indicación:</w:t>
      </w:r>
    </w:p>
    <w:p w:rsidR="00987501" w:rsidRPr="00CB67C4" w:rsidRDefault="00987501" w:rsidP="00987501">
      <w:pPr>
        <w:spacing w:after="0" w:line="240" w:lineRule="auto"/>
        <w:ind w:right="708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7762CA" w:rsidRDefault="007762CA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Pr="00CB67C4" w:rsidRDefault="00987501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Os seus datos incorpora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ranse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a un</w:t>
      </w:r>
      <w:r w:rsidR="00A32D46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ha aplicación informática 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da Universidade de Vigo. En cumprimento da Lei orgánica 15/1999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,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d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13 de decembro, de protecci</w:t>
      </w:r>
      <w:r w:rsidR="00665D03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ón de datos de carácter persoal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(LOPD), só se utiliza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rán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para respo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nder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a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s queixas, suxestións e parabéns d</w:t>
      </w:r>
      <w:r w:rsidR="006E2741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a Universidade de Vigo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e, en ningún caso, se ced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erán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a terceir</w:t>
      </w:r>
      <w:r w:rsidR="00AE2F5C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os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. Poderá exercer o seu dereito de acceso, rectificación, </w:t>
      </w:r>
      <w:r w:rsidR="00A32D46"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oposición</w:t>
      </w:r>
      <w:r w:rsidR="00A32D46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e</w:t>
      </w:r>
      <w:r w:rsidR="00A32D46"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 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cancelación mediante </w:t>
      </w:r>
      <w:r w:rsidR="00351AEA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 xml:space="preserve">un </w:t>
      </w:r>
      <w:r w:rsidRPr="00CB67C4"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  <w:t>escrito dirixido á Xerencia da Universidade de Vigo.</w:t>
      </w:r>
    </w:p>
    <w:p w:rsidR="00F44167" w:rsidRPr="00CB67C4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Pr="00CB67C4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BE29C3" w:rsidRPr="00CB67C4" w:rsidRDefault="00BE29C3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7762CA" w:rsidRPr="00CB67C4" w:rsidRDefault="007762CA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Pr="00CB67C4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Default="00987501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lastRenderedPageBreak/>
        <w:t xml:space="preserve">Os criterios para determinar 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responsabilidades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etapas </w:t>
      </w:r>
      <w:r w:rsid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guintes están descritos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t</w:t>
      </w:r>
      <w:r w:rsid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áboa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deseguido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:</w:t>
      </w:r>
    </w:p>
    <w:p w:rsidR="007762CA" w:rsidRPr="00CB67C4" w:rsidRDefault="007762CA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F44167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60: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distribución da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ámbito afectado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CB67C4" w:rsidRDefault="00F44167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80: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determinación da responsabilidad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da resp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sta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CB67C4" w:rsidRDefault="00F44167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</w:t>
      </w:r>
      <w:r w:rsidR="00665D0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2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0:</w:t>
      </w:r>
      <w:r w:rsidRPr="00CB67C4">
        <w:rPr>
          <w:rFonts w:ascii="ITC New Baskerville Std" w:hAnsi="ITC New Baskerville Std"/>
          <w:sz w:val="20"/>
          <w:szCs w:val="20"/>
        </w:rPr>
        <w:t xml:space="preserve"> validación</w:t>
      </w:r>
      <w:r w:rsidR="00665D03">
        <w:rPr>
          <w:rFonts w:ascii="ITC New Baskerville Std" w:hAnsi="ITC New Baskerville Std"/>
          <w:sz w:val="20"/>
          <w:szCs w:val="20"/>
        </w:rPr>
        <w:t xml:space="preserve"> do informe y da(s) proposta(s)</w:t>
      </w:r>
      <w:r w:rsidR="00807798">
        <w:rPr>
          <w:rFonts w:ascii="ITC New Baskerville Std" w:hAnsi="ITC New Baskerville Std"/>
          <w:sz w:val="20"/>
          <w:szCs w:val="20"/>
        </w:rPr>
        <w:t>.</w:t>
      </w:r>
    </w:p>
    <w:p w:rsidR="00F44167" w:rsidRPr="00CB67C4" w:rsidRDefault="00F44167" w:rsidP="00F44167">
      <w:pPr>
        <w:pStyle w:val="Prrafodelista"/>
        <w:spacing w:after="0" w:line="240" w:lineRule="auto"/>
        <w:ind w:left="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:rsidR="00F44167" w:rsidRPr="00CB67C4" w:rsidRDefault="00F44167" w:rsidP="00F44167">
      <w:pPr>
        <w:pStyle w:val="Prrafodelista"/>
        <w:spacing w:after="0" w:line="240" w:lineRule="auto"/>
        <w:ind w:left="0"/>
        <w:jc w:val="both"/>
        <w:rPr>
          <w:rFonts w:ascii="ITC New Baskerville Std" w:hAnsi="ITC New Baskerville Std"/>
          <w:sz w:val="20"/>
          <w:szCs w:val="20"/>
        </w:rPr>
      </w:pPr>
    </w:p>
    <w:p w:rsidR="00F44167" w:rsidRPr="00CB67C4" w:rsidRDefault="00F44167" w:rsidP="00F44167">
      <w:pPr>
        <w:pStyle w:val="Prrafodelista"/>
        <w:spacing w:after="0" w:line="240" w:lineRule="auto"/>
        <w:ind w:left="0"/>
        <w:jc w:val="both"/>
        <w:rPr>
          <w:rFonts w:ascii="ITC New Baskerville Std" w:hAnsi="ITC New Baskerville Std"/>
          <w:sz w:val="20"/>
          <w:szCs w:val="20"/>
        </w:rPr>
      </w:pPr>
    </w:p>
    <w:tbl>
      <w:tblPr>
        <w:tblW w:w="7824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39"/>
        <w:gridCol w:w="2693"/>
        <w:gridCol w:w="2492"/>
      </w:tblGrid>
      <w:tr w:rsidR="005956C3" w:rsidRPr="00CB67C4" w:rsidTr="005956C3">
        <w:trPr>
          <w:trHeight w:val="299"/>
          <w:jc w:val="center"/>
        </w:trPr>
        <w:tc>
          <w:tcPr>
            <w:tcW w:w="782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4" w:space="0" w:color="4BACC6" w:themeColor="accent5"/>
              <w:right w:val="single" w:sz="12" w:space="0" w:color="4BACC6" w:themeColor="accent5"/>
            </w:tcBorders>
            <w:shd w:val="clear" w:color="auto" w:fill="B8CCE4" w:themeFill="accent1" w:themeFillTint="66"/>
          </w:tcPr>
          <w:p w:rsidR="005956C3" w:rsidRPr="00CB67C4" w:rsidRDefault="005956C3" w:rsidP="00987501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b/>
                <w:bCs/>
                <w:sz w:val="20"/>
                <w:szCs w:val="24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b/>
                <w:bCs/>
                <w:sz w:val="20"/>
                <w:szCs w:val="24"/>
                <w:lang w:eastAsia="fr-FR"/>
              </w:rPr>
              <w:t>Responsabilidades</w:t>
            </w:r>
          </w:p>
        </w:tc>
      </w:tr>
      <w:tr w:rsidR="005956C3" w:rsidRPr="00CB67C4" w:rsidTr="005956C3">
        <w:trPr>
          <w:trHeight w:val="20"/>
          <w:jc w:val="center"/>
        </w:trPr>
        <w:tc>
          <w:tcPr>
            <w:tcW w:w="2639" w:type="dxa"/>
            <w:tcBorders>
              <w:top w:val="nil"/>
              <w:left w:val="single" w:sz="12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5956C3" w:rsidRPr="00CB67C4" w:rsidRDefault="005956C3" w:rsidP="00987501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Responsable da unidade receptora</w:t>
            </w:r>
          </w:p>
          <w:p w:rsidR="005956C3" w:rsidRPr="00CB67C4" w:rsidRDefault="005956C3" w:rsidP="00987501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(distribución)</w:t>
            </w:r>
          </w:p>
        </w:tc>
        <w:tc>
          <w:tcPr>
            <w:tcW w:w="2693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5956C3" w:rsidRPr="00CB67C4" w:rsidRDefault="005956C3" w:rsidP="00807798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b/>
                <w:bCs/>
                <w:sz w:val="20"/>
                <w:szCs w:val="24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Responsable de información e resposta</w:t>
            </w:r>
          </w:p>
        </w:tc>
        <w:tc>
          <w:tcPr>
            <w:tcW w:w="2492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single" w:sz="12" w:space="0" w:color="4BACC6" w:themeColor="accent5"/>
            </w:tcBorders>
            <w:shd w:val="clear" w:color="auto" w:fill="B8CCE4" w:themeFill="accent1" w:themeFillTint="66"/>
            <w:vAlign w:val="center"/>
          </w:tcPr>
          <w:p w:rsidR="005956C3" w:rsidRPr="00CB67C4" w:rsidRDefault="005956C3" w:rsidP="00987501">
            <w:pPr>
              <w:spacing w:after="0" w:line="240" w:lineRule="auto"/>
              <w:jc w:val="center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Responsable de validación</w:t>
            </w:r>
          </w:p>
        </w:tc>
      </w:tr>
      <w:tr w:rsidR="005956C3" w:rsidRPr="00CB67C4" w:rsidTr="005956C3">
        <w:trPr>
          <w:trHeight w:val="2475"/>
          <w:jc w:val="center"/>
        </w:trPr>
        <w:tc>
          <w:tcPr>
            <w:tcW w:w="2639" w:type="dxa"/>
            <w:tcBorders>
              <w:top w:val="single" w:sz="4" w:space="0" w:color="4BACC6" w:themeColor="accent5"/>
              <w:left w:val="single" w:sz="12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  <w:t>Ámbito de xestión: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Xef</w:t>
            </w:r>
            <w:r w:rsidR="00BE18A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a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/</w:t>
            </w:r>
            <w:r w:rsidR="00BE18A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e</w:t>
            </w:r>
            <w:r w:rsidR="0080779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de s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ervizo,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Direc</w:t>
            </w:r>
            <w:r w:rsidR="0080779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ción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,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Responsable, Administra</w:t>
            </w:r>
            <w:r w:rsidR="0080779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ción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,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  <w:t>Ámbito docente: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Decan</w:t>
            </w:r>
            <w:r w:rsidR="00BE18A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a</w:t>
            </w:r>
            <w:r w:rsidR="007762CA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t</w:t>
            </w:r>
            <w:r w:rsidR="00BE18A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o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ou direc</w:t>
            </w:r>
            <w:r w:rsidR="007762CA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ción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do centro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auto"/>
            <w:vAlign w:val="center"/>
          </w:tcPr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  <w:t>Ámbito de xestión: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Responsable da unidade receptora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  <w:t>Ámbito docente: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Membro do equipo directivo / decanal (en función das súas competencias), coordinador/a da titulación, dirección do departamento…</w:t>
            </w:r>
          </w:p>
        </w:tc>
        <w:tc>
          <w:tcPr>
            <w:tcW w:w="249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  <w:t>Ámbito de xestión:</w:t>
            </w:r>
          </w:p>
          <w:p w:rsidR="005956C3" w:rsidRPr="00CB67C4" w:rsidRDefault="005956C3" w:rsidP="00F262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Centros: </w:t>
            </w:r>
            <w:r w:rsidR="0080779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a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dministra</w:t>
            </w:r>
            <w:r w:rsidR="0080779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ción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</w:t>
            </w:r>
          </w:p>
          <w:p w:rsidR="005956C3" w:rsidRPr="00CB67C4" w:rsidRDefault="005956C3" w:rsidP="00F2623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Servizos centrais: Xerencia</w:t>
            </w: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5956C3" w:rsidRPr="00CB67C4" w:rsidRDefault="005956C3" w:rsidP="00987501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u w:val="single"/>
                <w:lang w:eastAsia="fr-FR"/>
              </w:rPr>
              <w:t>Ámbito docente:</w:t>
            </w:r>
          </w:p>
          <w:p w:rsidR="005956C3" w:rsidRPr="00CB67C4" w:rsidRDefault="005956C3" w:rsidP="007762CA">
            <w:pPr>
              <w:spacing w:after="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Decan</w:t>
            </w:r>
            <w:r w:rsidR="00BE18A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a</w:t>
            </w:r>
            <w:r w:rsidR="007762CA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t</w:t>
            </w:r>
            <w:r w:rsidR="00BE18A8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o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ou direc</w:t>
            </w:r>
            <w:r w:rsidR="007762CA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ción</w:t>
            </w:r>
            <w:r w:rsidRPr="00CB67C4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do centro </w:t>
            </w:r>
          </w:p>
        </w:tc>
      </w:tr>
    </w:tbl>
    <w:p w:rsidR="00F44167" w:rsidRPr="00CB67C4" w:rsidRDefault="00F44167" w:rsidP="00F4416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665D03" w:rsidRPr="00CB67C4" w:rsidRDefault="00665D03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Pr="00CB67C4" w:rsidRDefault="007762CA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10</w:t>
      </w:r>
      <w:r w:rsidR="00F44167"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2: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solicitud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 apertura dun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h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no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conformidad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987501" w:rsidRPr="00CB67C4" w:rsidRDefault="00987501" w:rsidP="00987501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Unha reclamación é un tipo de non conformidade. En consecuencia, analízanse as súas causas e as posibles accións para implantar. Estas poden ser simples correccións ou accións tomadas para evitar as causas reais e ata potenciais da reclamación, que poderían dar lugar a accións correctiva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ou preventivas. A aplicación permite manter a trazabilidade entre as QSP e as eventuais non conformidades e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accións correctivas e preventivas.</w:t>
      </w:r>
    </w:p>
    <w:p w:rsidR="00987501" w:rsidRPr="00CB67C4" w:rsidRDefault="00987501" w:rsidP="00987501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non conformidades 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xestiónanse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de acordo </w:t>
      </w:r>
      <w:r w:rsid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 procedemento MC03-PR01, </w:t>
      </w:r>
      <w:r w:rsidR="00807798">
        <w:rPr>
          <w:rFonts w:ascii="Arial" w:eastAsia="Times New Roman" w:hAnsi="Arial" w:cs="Arial"/>
          <w:sz w:val="20"/>
          <w:szCs w:val="24"/>
          <w:lang w:eastAsia="fr-FR"/>
        </w:rPr>
        <w:t>«</w:t>
      </w:r>
      <w:r w:rsidRP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Non conformidades reais e potenciais</w:t>
      </w:r>
      <w:r w:rsidR="00807798">
        <w:rPr>
          <w:rFonts w:ascii="Arial" w:eastAsia="Times New Roman" w:hAnsi="Arial" w:cs="Arial"/>
          <w:sz w:val="20"/>
          <w:szCs w:val="24"/>
          <w:lang w:eastAsia="fr-FR"/>
        </w:rPr>
        <w:t>»</w:t>
      </w:r>
      <w:r w:rsidRPr="00807798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(exclusivo do ámbito de xestión).</w:t>
      </w:r>
    </w:p>
    <w:p w:rsidR="00987501" w:rsidRPr="00CB67C4" w:rsidRDefault="00987501" w:rsidP="00987501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56054" w:rsidRPr="00CB67C4" w:rsidRDefault="00F56054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Pr="00CB67C4" w:rsidRDefault="00F44167" w:rsidP="00F44167">
      <w:pPr>
        <w:spacing w:after="0" w:line="240" w:lineRule="auto"/>
        <w:ind w:left="720" w:right="708"/>
        <w:jc w:val="both"/>
        <w:rPr>
          <w:rFonts w:ascii="ITC New Baskerville Std" w:eastAsia="Times New Roman" w:hAnsi="ITC New Baskerville Std" w:cstheme="minorHAnsi"/>
          <w:i/>
          <w:sz w:val="20"/>
          <w:szCs w:val="24"/>
          <w:lang w:eastAsia="fr-FR"/>
        </w:rPr>
      </w:pPr>
    </w:p>
    <w:p w:rsidR="00F44167" w:rsidRPr="00CB67C4" w:rsidRDefault="00F44167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</w:t>
      </w:r>
      <w:r w:rsidR="007762CA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110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: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prop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sta de </w:t>
      </w:r>
      <w:r w:rsidR="007762C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resolución e de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resp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sta a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usuario/a</w:t>
      </w: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884B65" w:rsidRPr="00CB67C4" w:rsidRDefault="00884B65" w:rsidP="00884B65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resposta </w:t>
      </w:r>
      <w:r w:rsidR="007762C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ao usuario/a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comezará sempre cun agradecemento por contactar e por participar na mellora da Universidade de Vigo.</w:t>
      </w:r>
    </w:p>
    <w:p w:rsidR="00F44167" w:rsidRPr="00CB67C4" w:rsidRDefault="007762CA" w:rsidP="00884B65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lingua empregada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será a elixida polo 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usuario/a </w:t>
      </w:r>
      <w:r w:rsidR="00C32706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para a resposta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(galego, castelán ou </w:t>
      </w:r>
      <w:r w:rsidR="00884B65" w:rsidRPr="005956C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inglés</w:t>
      </w:r>
      <w:r w:rsidR="00884B65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).</w:t>
      </w: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56054" w:rsidRDefault="00F56054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665D03" w:rsidRDefault="00665D03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665D03" w:rsidRDefault="00665D03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56054" w:rsidRDefault="00F56054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56054" w:rsidRDefault="00F56054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lastRenderedPageBreak/>
        <w:t xml:space="preserve">Seguimento </w:t>
      </w:r>
      <w:r w:rsidR="00884B65"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control d</w:t>
      </w:r>
      <w:r w:rsidR="00884B65"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proceso</w:t>
      </w: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884B65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 UEP realiza un seguim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ento da tramitación das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que incl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ú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 como mínimo:</w:t>
      </w:r>
    </w:p>
    <w:p w:rsidR="00884B65" w:rsidRPr="00CB67C4" w:rsidRDefault="00884B65" w:rsidP="00FC2E8A">
      <w:pPr>
        <w:pStyle w:val="Prrafodelista"/>
        <w:numPr>
          <w:ilvl w:val="0"/>
          <w:numId w:val="6"/>
        </w:numPr>
        <w:spacing w:after="0"/>
        <w:ind w:left="284" w:hanging="142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Asegurar a recepción da comunicación do usuario/a pola persoa responsable da unidade receptora no ámbito correspond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ente (segundo a táboa anterior).</w:t>
      </w:r>
    </w:p>
    <w:p w:rsidR="00884B65" w:rsidRPr="00CB67C4" w:rsidRDefault="00884B65" w:rsidP="00FC2E8A">
      <w:pPr>
        <w:pStyle w:val="Prrafodelista"/>
        <w:numPr>
          <w:ilvl w:val="0"/>
          <w:numId w:val="6"/>
        </w:numPr>
        <w:spacing w:after="0"/>
        <w:ind w:left="284" w:hanging="142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Lembrar o obxectivo de prazo para responde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rlle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ao usuario/a (sen prexuízo de posibles obxectivos máis ambiciosos no ámbito correspondente), s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fose o caso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CB67C4" w:rsidRDefault="00CB2A5A" w:rsidP="00FC2E8A">
      <w:pPr>
        <w:pStyle w:val="Prrafodelista"/>
        <w:numPr>
          <w:ilvl w:val="0"/>
          <w:numId w:val="6"/>
        </w:numPr>
        <w:spacing w:after="0"/>
        <w:ind w:left="284" w:hanging="142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Asegurar que, en todo caso, </w:t>
      </w:r>
      <w:r w:rsidR="00EE21EB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se 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lle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resp</w:t>
      </w:r>
      <w:r w:rsidR="00EE21EB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nde ao usuario/a, </w:t>
      </w:r>
      <w:r w:rsidR="00EE21EB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mesmo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logo dos prazos establecidos.</w:t>
      </w:r>
    </w:p>
    <w:p w:rsidR="00F44167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2473A5" w:rsidRPr="00CB67C4" w:rsidRDefault="002473A5" w:rsidP="002473A5">
      <w:pPr>
        <w:spacing w:after="0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Prazos de resposta</w:t>
      </w:r>
    </w:p>
    <w:p w:rsidR="002473A5" w:rsidRPr="002473A5" w:rsidRDefault="002473A5" w:rsidP="002473A5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p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azos de resp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sta establecidos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 parágrafo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IV.4 Diagrama de flu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x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o, son os máximos admitidos,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agás no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ámbito de docencia (seg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u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especifica 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t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á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b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deseguido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), 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que interr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mpen </w:t>
      </w:r>
      <w:r w:rsidR="00631729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no</w:t>
      </w:r>
      <w:r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mes de agosto.</w:t>
      </w:r>
    </w:p>
    <w:p w:rsidR="002473A5" w:rsidRPr="002473A5" w:rsidRDefault="002473A5" w:rsidP="002473A5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2473A5" w:rsidRPr="002473A5" w:rsidRDefault="00631729" w:rsidP="002473A5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Porén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est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 p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azos pod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e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rían reducirse a medida que a eficacia d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sistema de QS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me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ll</w:t>
      </w:r>
      <w:r w:rsidR="002473A5" w:rsidRPr="002473A5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ore.</w:t>
      </w:r>
    </w:p>
    <w:p w:rsidR="00BE29C3" w:rsidRDefault="00BE29C3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2A52E3" w:rsidRPr="00CB67C4" w:rsidRDefault="002A52E3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F44167" w:rsidP="00F2623B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ITC New Baskerville Std" w:hAnsi="ITC New Baskerville Std"/>
          <w:sz w:val="20"/>
          <w:szCs w:val="20"/>
        </w:rPr>
      </w:pPr>
      <w:r w:rsidRPr="00CB67C4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140: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realización dun informe de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</w:t>
      </w:r>
      <w:r w:rsidR="00EE21EB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fin de analizar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as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establ</w:t>
      </w:r>
      <w:r w:rsidR="00EE21EB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é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cen</w:t>
      </w:r>
      <w:r w:rsidR="00EE21EB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se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diversos criterios de clasificación. </w:t>
      </w:r>
    </w:p>
    <w:p w:rsidR="00F44167" w:rsidRPr="00CB67C4" w:rsidRDefault="00EE21EB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</w:t>
      </w:r>
      <w:r w:rsidR="00987501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QSP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, atendendo ao motivo que leva 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usuario/a </w:t>
      </w:r>
      <w:r w:rsidR="00FC2E8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 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realizala, p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</w:t>
      </w:r>
      <w:r w:rsidR="00F44167"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den afectar a:</w:t>
      </w:r>
    </w:p>
    <w:p w:rsidR="00F44167" w:rsidRPr="00CB67C4" w:rsidRDefault="00F44167" w:rsidP="00F44167">
      <w:pPr>
        <w:spacing w:after="0"/>
        <w:ind w:left="-284" w:firstLine="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tbl>
      <w:tblPr>
        <w:tblW w:w="7752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V w:val="single" w:sz="4" w:space="0" w:color="4BACC6" w:themeColor="accent5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</w:tblGrid>
      <w:tr w:rsidR="00F44167" w:rsidRPr="00CB67C4" w:rsidTr="00987501">
        <w:trPr>
          <w:jc w:val="center"/>
        </w:trPr>
        <w:tc>
          <w:tcPr>
            <w:tcW w:w="7752" w:type="dxa"/>
            <w:tcBorders>
              <w:top w:val="single" w:sz="4" w:space="0" w:color="4BACC6" w:themeColor="accent5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F44167" w:rsidP="00987501">
            <w:pPr>
              <w:spacing w:after="0" w:line="240" w:lineRule="auto"/>
              <w:jc w:val="center"/>
              <w:rPr>
                <w:rFonts w:ascii="ITC New Baskerville Std" w:hAnsi="ITC New Baskerville Std"/>
                <w:b/>
                <w:bCs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b/>
                <w:bCs/>
                <w:sz w:val="20"/>
                <w:szCs w:val="20"/>
              </w:rPr>
              <w:t xml:space="preserve">Motivos das </w:t>
            </w:r>
            <w:r w:rsidR="00987501" w:rsidRPr="00CB67C4">
              <w:rPr>
                <w:rFonts w:ascii="ITC New Baskerville Std" w:hAnsi="ITC New Baskerville Std"/>
                <w:b/>
                <w:bCs/>
                <w:sz w:val="20"/>
                <w:szCs w:val="20"/>
              </w:rPr>
              <w:t>QSP</w:t>
            </w:r>
          </w:p>
          <w:p w:rsidR="00F44167" w:rsidRPr="00CB67C4" w:rsidRDefault="00F44167" w:rsidP="00987501">
            <w:pPr>
              <w:spacing w:after="0" w:line="240" w:lineRule="auto"/>
              <w:rPr>
                <w:rFonts w:ascii="ITC New Baskerville Std" w:hAnsi="ITC New Baskerville Std"/>
                <w:bCs/>
                <w:sz w:val="10"/>
                <w:szCs w:val="10"/>
              </w:rPr>
            </w:pP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F44167" w:rsidP="00987501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Procesos</w:t>
            </w: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auto" w:fill="auto"/>
          </w:tcPr>
          <w:p w:rsidR="00F44167" w:rsidRPr="00CB67C4" w:rsidRDefault="00F44167" w:rsidP="00987501">
            <w:pPr>
              <w:tabs>
                <w:tab w:val="left" w:pos="507"/>
              </w:tabs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ab/>
            </w:r>
          </w:p>
          <w:p w:rsidR="00F44167" w:rsidRPr="00CB67C4" w:rsidRDefault="009D34BB" w:rsidP="009D34BB">
            <w:pPr>
              <w:spacing w:after="0" w:line="240" w:lineRule="auto"/>
              <w:ind w:left="43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Cando afecta a trámites, tarefas, prazos, documentación…</w:t>
            </w:r>
            <w:r w:rsidR="00F94F71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 xml:space="preserve">, </w:t>
            </w: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requiridos durante o proceso de atención.</w:t>
            </w: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</w:tcBorders>
            <w:shd w:val="clear" w:color="auto" w:fill="auto"/>
          </w:tcPr>
          <w:p w:rsidR="00F44167" w:rsidRPr="00CB67C4" w:rsidRDefault="00F44167" w:rsidP="00987501">
            <w:pPr>
              <w:spacing w:after="0" w:line="240" w:lineRule="auto"/>
              <w:rPr>
                <w:rFonts w:ascii="ITC New Baskerville Std" w:hAnsi="ITC New Baskerville Std"/>
                <w:sz w:val="8"/>
                <w:szCs w:val="8"/>
              </w:rPr>
            </w:pP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9D34BB" w:rsidP="00987501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Perso</w:t>
            </w:r>
            <w:r w:rsidR="00F44167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as</w:t>
            </w: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single" w:sz="4" w:space="0" w:color="4BACC6" w:themeColor="accent5"/>
            </w:tcBorders>
            <w:shd w:val="clear" w:color="auto" w:fill="auto"/>
          </w:tcPr>
          <w:p w:rsidR="00F44167" w:rsidRPr="00CB67C4" w:rsidRDefault="00F44167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</w:p>
          <w:p w:rsidR="00F44167" w:rsidRPr="00CB67C4" w:rsidRDefault="009D34BB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Cando está provocada pola cualificación ou profesionalidade do persoal que o atende (ou co que está relacionado unha actividade) ou polo trato persoal recibido</w:t>
            </w:r>
            <w:r w:rsidR="00F94F71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.</w:t>
            </w:r>
          </w:p>
          <w:p w:rsidR="00F44167" w:rsidRPr="00CB67C4" w:rsidRDefault="00F44167" w:rsidP="00987501">
            <w:pPr>
              <w:spacing w:after="0" w:line="240" w:lineRule="auto"/>
              <w:ind w:left="43" w:firstLine="720"/>
              <w:rPr>
                <w:rFonts w:ascii="ITC New Baskerville Std" w:hAnsi="ITC New Baskerville Std"/>
                <w:sz w:val="8"/>
                <w:szCs w:val="8"/>
              </w:rPr>
            </w:pP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F44167" w:rsidP="009D34BB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Instalaci</w:t>
            </w:r>
            <w:r w:rsidR="009D34BB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ón</w:t>
            </w:r>
            <w:r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s</w:t>
            </w: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auto" w:fill="auto"/>
          </w:tcPr>
          <w:p w:rsidR="00F44167" w:rsidRPr="00CB67C4" w:rsidRDefault="00F44167" w:rsidP="00987501">
            <w:pPr>
              <w:tabs>
                <w:tab w:val="left" w:pos="507"/>
              </w:tabs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ab/>
            </w:r>
          </w:p>
          <w:p w:rsidR="00F44167" w:rsidRPr="00CB67C4" w:rsidRDefault="009D34BB" w:rsidP="00F94F71">
            <w:pPr>
              <w:spacing w:after="0" w:line="240" w:lineRule="auto"/>
              <w:ind w:left="43"/>
              <w:rPr>
                <w:rFonts w:ascii="ITC New Baskerville Std" w:hAnsi="ITC New Baskerville Std"/>
                <w:sz w:val="20"/>
                <w:szCs w:val="20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Cando se refiren a orde, limpeza, sinalización, facilidade de acceso ou localización das instalacións ou medios virtua</w:t>
            </w:r>
            <w:r w:rsid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i</w:t>
            </w: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s (incl</w:t>
            </w:r>
            <w:r w:rsidR="00F94F71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úense</w:t>
            </w: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 xml:space="preserve"> os recursos de apoio á docencia).</w:t>
            </w: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</w:tcBorders>
            <w:shd w:val="clear" w:color="auto" w:fill="auto"/>
          </w:tcPr>
          <w:p w:rsidR="00F44167" w:rsidRPr="00CB67C4" w:rsidRDefault="00F44167" w:rsidP="00987501">
            <w:pPr>
              <w:spacing w:after="0" w:line="240" w:lineRule="auto"/>
              <w:rPr>
                <w:rFonts w:ascii="ITC New Baskerville Std" w:hAnsi="ITC New Baskerville Std"/>
                <w:sz w:val="8"/>
                <w:szCs w:val="8"/>
              </w:rPr>
            </w:pPr>
          </w:p>
        </w:tc>
      </w:tr>
      <w:tr w:rsidR="00F44167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808080" w:fill="B8CCE4" w:themeFill="accent1" w:themeFillTint="66"/>
            <w:vAlign w:val="center"/>
          </w:tcPr>
          <w:p w:rsidR="00F44167" w:rsidRPr="00CB67C4" w:rsidRDefault="00F44167" w:rsidP="009D34BB">
            <w:pPr>
              <w:spacing w:after="0" w:line="240" w:lineRule="auto"/>
              <w:rPr>
                <w:rFonts w:ascii="ITC New Baskerville Std" w:hAnsi="ITC New Baskerville Std"/>
                <w:bCs/>
                <w:sz w:val="20"/>
                <w:szCs w:val="20"/>
              </w:rPr>
            </w:pPr>
            <w:r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Prestaci</w:t>
            </w:r>
            <w:r w:rsidR="009D34BB"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ón</w:t>
            </w:r>
            <w:r w:rsidRPr="00CB67C4">
              <w:rPr>
                <w:rFonts w:ascii="ITC New Baskerville Std" w:hAnsi="ITC New Baskerville Std"/>
                <w:bCs/>
                <w:sz w:val="20"/>
                <w:szCs w:val="20"/>
              </w:rPr>
              <w:t>s</w:t>
            </w:r>
          </w:p>
        </w:tc>
      </w:tr>
      <w:tr w:rsidR="00F44167" w:rsidRPr="00CB67C4" w:rsidTr="006E274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auto" w:fill="auto"/>
          </w:tcPr>
          <w:p w:rsidR="00F44167" w:rsidRPr="00CB67C4" w:rsidRDefault="00F44167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</w:p>
          <w:p w:rsidR="00F44167" w:rsidRPr="00CB67C4" w:rsidRDefault="009D34BB" w:rsidP="00F94F71">
            <w:pPr>
              <w:spacing w:after="0" w:line="240" w:lineRule="auto"/>
              <w:ind w:left="43"/>
              <w:rPr>
                <w:rFonts w:ascii="ITC New Baskerville Std" w:hAnsi="ITC New Baskerville Std"/>
                <w:sz w:val="8"/>
                <w:szCs w:val="8"/>
              </w:rPr>
            </w:pP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 xml:space="preserve">Cando afecta o resultado obtido e de </w:t>
            </w:r>
            <w:r w:rsidR="00F5605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 xml:space="preserve">non </w:t>
            </w:r>
            <w:r w:rsidRPr="00CB67C4"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existir coincidencia entre o produto ou servizo prestado e as necesidades e expectativas do usuario/a.</w:t>
            </w:r>
          </w:p>
        </w:tc>
      </w:tr>
      <w:tr w:rsidR="006E2741" w:rsidRPr="00CB67C4" w:rsidTr="006E274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auto" w:fill="auto"/>
          </w:tcPr>
          <w:p w:rsidR="006E2741" w:rsidRPr="00CB67C4" w:rsidRDefault="006E2741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</w:p>
        </w:tc>
      </w:tr>
      <w:tr w:rsidR="005956C3" w:rsidRPr="00CB67C4" w:rsidTr="006E2741">
        <w:trPr>
          <w:jc w:val="center"/>
        </w:trPr>
        <w:tc>
          <w:tcPr>
            <w:tcW w:w="77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7752" w:type="dxa"/>
              <w:jc w:val="center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V w:val="single" w:sz="4" w:space="0" w:color="4BACC6" w:themeColor="accent5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52"/>
            </w:tblGrid>
            <w:tr w:rsidR="005956C3" w:rsidRPr="00487E3A" w:rsidTr="006B29C0">
              <w:trPr>
                <w:jc w:val="center"/>
              </w:trPr>
              <w:tc>
                <w:tcPr>
                  <w:tcW w:w="7752" w:type="dxa"/>
                  <w:tcBorders>
                    <w:top w:val="nil"/>
                    <w:bottom w:val="nil"/>
                  </w:tcBorders>
                  <w:shd w:val="clear" w:color="808080" w:fill="B8CCE4" w:themeFill="accent1" w:themeFillTint="66"/>
                  <w:vAlign w:val="center"/>
                </w:tcPr>
                <w:p w:rsidR="005956C3" w:rsidRPr="00487E3A" w:rsidRDefault="005956C3" w:rsidP="005956C3">
                  <w:pPr>
                    <w:spacing w:after="0" w:line="240" w:lineRule="auto"/>
                    <w:rPr>
                      <w:rFonts w:ascii="ITC New Baskerville Std" w:hAnsi="ITC New Baskerville Std"/>
                      <w:bCs/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Cs/>
                      <w:sz w:val="20"/>
                      <w:szCs w:val="20"/>
                    </w:rPr>
                    <w:t>Docencia</w:t>
                  </w:r>
                </w:p>
              </w:tc>
            </w:tr>
          </w:tbl>
          <w:p w:rsidR="005956C3" w:rsidRDefault="005956C3" w:rsidP="005956C3"/>
        </w:tc>
      </w:tr>
      <w:tr w:rsidR="006E2741" w:rsidRPr="00CB67C4" w:rsidTr="00987501">
        <w:trPr>
          <w:jc w:val="center"/>
        </w:trPr>
        <w:tc>
          <w:tcPr>
            <w:tcW w:w="7752" w:type="dxa"/>
            <w:tcBorders>
              <w:top w:val="nil"/>
              <w:bottom w:val="single" w:sz="4" w:space="0" w:color="4BACC6" w:themeColor="accent5"/>
            </w:tcBorders>
            <w:shd w:val="clear" w:color="auto" w:fill="auto"/>
          </w:tcPr>
          <w:p w:rsidR="006E2741" w:rsidRDefault="006E2741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</w:p>
          <w:p w:rsidR="005956C3" w:rsidRDefault="00E74BB5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Cando afecta a:</w:t>
            </w:r>
          </w:p>
          <w:p w:rsid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-- Actividade docente e desenvolvemento do ensino,</w:t>
            </w:r>
          </w:p>
          <w:p w:rsid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Guías docentes,</w:t>
            </w:r>
          </w:p>
          <w:p w:rsid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Calendario académico,</w:t>
            </w:r>
          </w:p>
          <w:p w:rsidR="00E74BB5" w:rsidRDefault="00E74BB5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Sistemas de avaliación,</w:t>
            </w:r>
          </w:p>
          <w:p w:rsid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Xestión das prácticas,</w:t>
            </w:r>
          </w:p>
          <w:p w:rsid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Xestión da mobilidade,</w:t>
            </w:r>
          </w:p>
          <w:p w:rsid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Recoñecemento e transferencia de créditos e</w:t>
            </w:r>
          </w:p>
          <w:p w:rsidR="00E74BB5" w:rsidRPr="00E74BB5" w:rsidRDefault="00E74BB5" w:rsidP="00E74BB5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20"/>
                <w:szCs w:val="24"/>
                <w:lang w:eastAsia="fr-FR"/>
              </w:rPr>
              <w:t>- Premios extraordinarios.</w:t>
            </w:r>
          </w:p>
          <w:p w:rsidR="005956C3" w:rsidRDefault="005956C3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</w:p>
          <w:p w:rsidR="005956C3" w:rsidRPr="00CB67C4" w:rsidRDefault="005956C3" w:rsidP="00987501">
            <w:pPr>
              <w:spacing w:after="0" w:line="240" w:lineRule="auto"/>
              <w:ind w:left="43"/>
              <w:rPr>
                <w:rFonts w:ascii="ITC New Baskerville Std" w:eastAsia="Times New Roman" w:hAnsi="ITC New Baskerville Std" w:cstheme="minorHAnsi"/>
                <w:sz w:val="8"/>
                <w:szCs w:val="8"/>
                <w:lang w:eastAsia="fr-FR"/>
              </w:rPr>
            </w:pPr>
          </w:p>
        </w:tc>
      </w:tr>
    </w:tbl>
    <w:p w:rsidR="00F44167" w:rsidRPr="00CB67C4" w:rsidRDefault="00F44167" w:rsidP="00F44167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44167" w:rsidRPr="00CB67C4" w:rsidRDefault="009D34BB" w:rsidP="009D34BB">
      <w:pPr>
        <w:spacing w:after="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lastRenderedPageBreak/>
        <w:t>Esta clasificación pode dar lugar a que unha comunicación poida ser asignada a varios ítems. Tamén pode ser desenvolvida para an</w:t>
      </w:r>
      <w:r w:rsidR="008E5692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li</w:t>
      </w:r>
      <w:r w:rsidR="008E5692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zar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8E5692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con</w:t>
      </w:r>
      <w:r w:rsidRPr="00CB67C4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maior detalle e dar lugar a outro tipo de clasificación en función das necesidades.</w:t>
      </w:r>
    </w:p>
    <w:p w:rsidR="00F430C5" w:rsidRPr="00CB67C4" w:rsidRDefault="00F430C5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870134" w:rsidRPr="00CB67C4" w:rsidRDefault="00870134" w:rsidP="00177CB6">
      <w:pPr>
        <w:spacing w:after="120"/>
        <w:ind w:left="-284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CB67C4" w:rsidRDefault="00F875D0" w:rsidP="00F2623B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ITC New Baskerville Std" w:hAnsi="ITC New Baskerville Std"/>
          <w:b/>
          <w:sz w:val="24"/>
        </w:rPr>
      </w:pPr>
      <w:r w:rsidRPr="00CB67C4">
        <w:rPr>
          <w:rFonts w:ascii="ITC New Baskerville Std" w:hAnsi="ITC New Baskerville Std"/>
          <w:b/>
          <w:sz w:val="24"/>
        </w:rPr>
        <w:t>Ciclo de me</w:t>
      </w:r>
      <w:r w:rsidR="00442A24" w:rsidRPr="00CB67C4">
        <w:rPr>
          <w:rFonts w:ascii="ITC New Baskerville Std" w:hAnsi="ITC New Baskerville Std"/>
          <w:b/>
          <w:sz w:val="24"/>
        </w:rPr>
        <w:t>ll</w:t>
      </w:r>
      <w:r w:rsidRPr="00CB67C4">
        <w:rPr>
          <w:rFonts w:ascii="ITC New Baskerville Std" w:hAnsi="ITC New Baskerville Std"/>
          <w:b/>
          <w:sz w:val="24"/>
        </w:rPr>
        <w:t>ora continua d</w:t>
      </w:r>
      <w:r w:rsidR="00442A24" w:rsidRPr="00CB67C4">
        <w:rPr>
          <w:rFonts w:ascii="ITC New Baskerville Std" w:hAnsi="ITC New Baskerville Std"/>
          <w:b/>
          <w:sz w:val="24"/>
        </w:rPr>
        <w:t>o</w:t>
      </w:r>
      <w:r w:rsidRPr="00CB67C4">
        <w:rPr>
          <w:rFonts w:ascii="ITC New Baskerville Std" w:hAnsi="ITC New Baskerville Std"/>
          <w:b/>
          <w:sz w:val="24"/>
        </w:rPr>
        <w:t xml:space="preserve"> proceso</w:t>
      </w:r>
      <w:r w:rsidR="00660739" w:rsidRPr="00CB67C4">
        <w:rPr>
          <w:rFonts w:ascii="ITC New Baskerville Std" w:hAnsi="ITC New Baskerville Std"/>
          <w:b/>
          <w:sz w:val="24"/>
        </w:rPr>
        <w:t xml:space="preserve"> (PDCA)</w:t>
      </w:r>
    </w:p>
    <w:p w:rsidR="00F875D0" w:rsidRPr="00CB67C4" w:rsidRDefault="00F875D0" w:rsidP="00177CB6">
      <w:pPr>
        <w:pStyle w:val="Prrafodelista"/>
        <w:tabs>
          <w:tab w:val="left" w:pos="2694"/>
        </w:tabs>
        <w:spacing w:after="0" w:line="240" w:lineRule="auto"/>
        <w:ind w:left="284"/>
        <w:jc w:val="both"/>
        <w:rPr>
          <w:rFonts w:ascii="ITC New Baskerville Std" w:hAnsi="ITC New Baskerville Std"/>
          <w:i/>
          <w:sz w:val="24"/>
        </w:rPr>
      </w:pPr>
    </w:p>
    <w:p w:rsidR="00167E21" w:rsidRPr="00CB67C4" w:rsidRDefault="004D5897" w:rsidP="00177CB6">
      <w:pPr>
        <w:spacing w:after="120"/>
        <w:jc w:val="both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  <w:lang w:eastAsia="gl-ES"/>
        </w:rPr>
        <w:pict>
          <v:oval id="_x0000_s1119" style="position:absolute;left:0;text-align:left;margin-left:178.3pt;margin-top:61.9pt;width:16.2pt;height:16.05pt;z-index:252099584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1" style="position:absolute;left:0;text-align:left;margin-left:336.3pt;margin-top:229.95pt;width:16.2pt;height:16.05pt;z-index:252101632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2" style="position:absolute;left:0;text-align:left;margin-left:302.3pt;margin-top:110.5pt;width:16.2pt;height:16.05pt;z-index:252102656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oval id="_x0000_s1120" style="position:absolute;left:0;text-align:left;margin-left:156.85pt;margin-top:232.7pt;width:16.2pt;height:16.05pt;z-index:252100608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660739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  <w:lang w:eastAsia="gl-E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10" type="#_x0000_t93" style="position:absolute;left:0;text-align:left;margin-left:352.5pt;margin-top:265.7pt;width:28.9pt;height:21.8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" adj="13454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12 Flecha a la derecha con bandas" o:spid="_x0000_s1108" type="#_x0000_t93" style="position:absolute;left:0;text-align:left;margin-left:106.95pt;margin-top:253.05pt;width:31.9pt;height:21.8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" adj="14219" fillcolor="#c2d69b [1942]" strokecolor="#c2d69b [1942]" strokeweight="2pt">
            <v:fill color2="#d6e2f0 [756]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  <w:lang w:eastAsia="gl-ES"/>
        </w:rPr>
        <w:pict>
          <v:shape id="_x0000_s1109" type="#_x0000_t93" style="position:absolute;left:0;text-align:left;margin-left:253.4pt;margin-top:257.55pt;width:36.55pt;height:21.8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" adj="16261" fillcolor="#c3d69b" strokecolor="#c3d69b" strokeweight="2pt">
            <v:fill color2="#e1e8f5" rotate="t" angle="270" colors="0 #c3d69b;31457f #c2d1ed;1 #e1e8f5" focus="100%" type="gradient"/>
          </v:shape>
        </w:pict>
      </w:r>
      <w:r w:rsidR="00442A24" w:rsidRPr="00CB67C4">
        <w:rPr>
          <w:rFonts w:ascii="ITC New Baskerville Std" w:hAnsi="ITC New Baskerville Std"/>
          <w:noProof/>
          <w:lang w:val="es-ES" w:eastAsia="es-ES"/>
        </w:rPr>
        <w:drawing>
          <wp:inline distT="0" distB="0" distL="0" distR="0" wp14:anchorId="62354A6F" wp14:editId="31756EF3">
            <wp:extent cx="6026785" cy="4630228"/>
            <wp:effectExtent l="76200" t="57150" r="88265" b="7556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42A24" w:rsidRPr="00CB67C4" w:rsidRDefault="004D5897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hAnsi="ITC New Baskerville Std"/>
          <w:b/>
          <w:noProof/>
          <w:lang w:eastAsia="gl-ES"/>
        </w:rPr>
        <w:pict>
          <v:oval id="_x0000_s1128" style="position:absolute;left:0;text-align:left;margin-left:10.65pt;margin-top:-.05pt;width:16.2pt;height:16.05pt;z-index:252104704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29" style="position:absolute;left:0;text-align:left;margin-left:10.65pt;margin-top:23.4pt;width:16.2pt;height:16.05pt;z-index:252105728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0" style="position:absolute;left:0;text-align:left;margin-left:10.65pt;margin-top:45.25pt;width:16.2pt;height:16.05pt;z-index:252106752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C</w:t>
                  </w:r>
                </w:p>
              </w:txbxContent>
            </v:textbox>
          </v:oval>
        </w:pic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Planificar: establecer os obxectivos e os procesos necesarios para acadar resultados de acordo cos requisitos, 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coas 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necesidades e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442A24" w:rsidRPr="00CB67C4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442A24" w:rsidRPr="00CB67C4" w:rsidRDefault="004D5897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  <w:lang w:eastAsia="gl-ES"/>
        </w:rPr>
        <w:pict>
          <v:oval id="_x0000_s1131" style="position:absolute;left:0;text-align:left;margin-left:10.65pt;margin-top:24.05pt;width:16.2pt;height:16.05pt;z-index:252107776;mso-width-relative:margin;mso-height-relative:margin;v-text-anchor:middle" filled="f" strokecolor="windowText">
            <o:lock v:ext="edit" aspectratio="t"/>
            <v:textbox inset="0,0,0,0">
              <w:txbxContent>
                <w:p w:rsidR="007762CA" w:rsidRPr="009977B6" w:rsidRDefault="007762CA" w:rsidP="00442A24">
                  <w:pPr>
                    <w:jc w:val="center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  <w:lang w:val="es-ES"/>
                    </w:rPr>
                    <w:t>A</w:t>
                  </w:r>
                </w:p>
              </w:txbxContent>
            </v:textbox>
          </v:oval>
        </w:pic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Controlar (verificar): realizar o seguimento e a medición dos procesos e dos produtos e servizos respecto ás políticas, aos obxectivos e aos requisitos, 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necesidades e </w:t>
      </w:r>
      <w:r w:rsidR="00D80603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ás </w:t>
      </w:r>
      <w:r w:rsidR="00442A24"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expectativas, e informar dos resultados.</w:t>
      </w:r>
    </w:p>
    <w:p w:rsidR="00442A24" w:rsidRPr="00CB67C4" w:rsidRDefault="00442A24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442A24" w:rsidRPr="00CB67C4" w:rsidRDefault="009A0C03" w:rsidP="00177CB6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48755A" w:rsidRPr="00CB67C4" w:rsidRDefault="0048755A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9B1AE4" w:rsidRPr="00CB67C4" w:rsidRDefault="009B1AE4" w:rsidP="00177CB6">
      <w:pPr>
        <w:spacing w:after="120"/>
        <w:jc w:val="both"/>
        <w:rPr>
          <w:rFonts w:ascii="ITC New Baskerville Std" w:hAnsi="ITC New Baskerville Std"/>
          <w:b/>
        </w:rPr>
      </w:pPr>
    </w:p>
    <w:p w:rsidR="0048755A" w:rsidRPr="00CB67C4" w:rsidRDefault="0048755A" w:rsidP="00177CB6">
      <w:pPr>
        <w:pStyle w:val="EstiloDocumentoSC"/>
        <w:pBdr>
          <w:top w:val="single" w:sz="24" w:space="1" w:color="auto"/>
        </w:pBdr>
        <w:shd w:val="clear" w:color="auto" w:fill="FFFFFF" w:themeFill="background1"/>
        <w:jc w:val="both"/>
        <w:rPr>
          <w:rFonts w:ascii="ITC New Baskerville Std" w:hAnsi="ITC New Baskerville Std"/>
          <w:b w:val="0"/>
          <w:lang w:val="gl-ES"/>
        </w:rPr>
      </w:pPr>
      <w:bookmarkStart w:id="5" w:name="_Toc347908984"/>
      <w:bookmarkStart w:id="6" w:name="_Toc348607833"/>
      <w:r w:rsidRPr="00CB67C4">
        <w:rPr>
          <w:rFonts w:ascii="ITC New Baskerville Std" w:hAnsi="ITC New Baskerville Std"/>
          <w:b w:val="0"/>
          <w:lang w:val="gl-ES"/>
        </w:rPr>
        <w:lastRenderedPageBreak/>
        <w:t xml:space="preserve">V </w:t>
      </w:r>
      <w:r w:rsidR="004A24BF" w:rsidRPr="00CB67C4">
        <w:rPr>
          <w:rFonts w:ascii="ITC New Baskerville Std" w:hAnsi="ITC New Baskerville Std"/>
          <w:b w:val="0"/>
          <w:lang w:val="gl-ES"/>
        </w:rPr>
        <w:t>ANEXOS</w:t>
      </w:r>
      <w:bookmarkEnd w:id="5"/>
      <w:bookmarkEnd w:id="6"/>
    </w:p>
    <w:p w:rsidR="0048755A" w:rsidRPr="00CB67C4" w:rsidRDefault="0048755A" w:rsidP="00177CB6">
      <w:pPr>
        <w:spacing w:after="0" w:line="240" w:lineRule="auto"/>
        <w:jc w:val="both"/>
        <w:rPr>
          <w:rFonts w:ascii="ITC New Baskerville Std" w:hAnsi="ITC New Baskerville Std"/>
          <w:b/>
        </w:rPr>
      </w:pPr>
    </w:p>
    <w:p w:rsidR="00366AE0" w:rsidRPr="00CB67C4" w:rsidRDefault="004D5897" w:rsidP="00366AE0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1" w:history="1">
        <w:r w:rsidR="00366AE0" w:rsidRPr="00CB67C4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Anexo 1</w:t>
        </w:r>
      </w:hyperlink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ab/>
        <w:t>: Formulario electrónico de QS</w:t>
      </w:r>
      <w:r w:rsidR="00CB67C4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P</w:t>
      </w:r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.</w:t>
      </w:r>
    </w:p>
    <w:p w:rsidR="00366AE0" w:rsidRPr="00CB67C4" w:rsidRDefault="004D5897" w:rsidP="00366AE0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2" w:history="1">
        <w:r w:rsidR="00366AE0" w:rsidRPr="00CB67C4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 xml:space="preserve">Anexo </w:t>
        </w:r>
      </w:hyperlink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2</w:t>
      </w:r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ab/>
        <w:t>: Formato electrónico de resp</w:t>
      </w:r>
      <w:r w:rsidR="00CB67C4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o</w:t>
      </w:r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sta </w:t>
      </w:r>
      <w:r w:rsidR="00CB67C4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ás</w:t>
      </w:r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 QS</w:t>
      </w:r>
      <w:r w:rsidR="00CB67C4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P</w:t>
      </w:r>
      <w:r w:rsidR="00366AE0" w:rsidRPr="00CB67C4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.</w:t>
      </w: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C02D60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CB67C4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:rsidR="00C02D60" w:rsidRPr="00CB67C4" w:rsidRDefault="00C02D60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tbl>
      <w:tblPr>
        <w:tblStyle w:val="Sombreadoclaro-nfasis11"/>
        <w:tblW w:w="9639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141"/>
        <w:gridCol w:w="1276"/>
        <w:gridCol w:w="1559"/>
        <w:gridCol w:w="993"/>
        <w:gridCol w:w="1275"/>
      </w:tblGrid>
      <w:tr w:rsidR="00410ABE" w:rsidRPr="00CB67C4" w:rsidTr="00CB6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410ABE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Identificación do rexistro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Soporte orixinal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410A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Dispoñible na aplicación SGIC-STO?</w:t>
            </w:r>
          </w:p>
        </w:tc>
        <w:tc>
          <w:tcPr>
            <w:tcW w:w="1559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Responsable de custodia</w:t>
            </w:r>
          </w:p>
          <w:p w:rsidR="00410ABE" w:rsidRPr="00CB67C4" w:rsidRDefault="00410ABE" w:rsidP="00410AB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(órgano / posto)</w:t>
            </w:r>
          </w:p>
        </w:tc>
        <w:tc>
          <w:tcPr>
            <w:tcW w:w="99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Duración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Clasificación</w:t>
            </w:r>
          </w:p>
          <w:p w:rsidR="00410ABE" w:rsidRPr="00CB67C4" w:rsidRDefault="00410ABE" w:rsidP="0061266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(*)</w:t>
            </w:r>
          </w:p>
        </w:tc>
      </w:tr>
      <w:tr w:rsidR="00410ABE" w:rsidRPr="00CB67C4" w:rsidTr="00CB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/>
                <w:color w:val="auto"/>
                <w:sz w:val="18"/>
                <w:szCs w:val="18"/>
                <w:lang w:val="gl-ES"/>
              </w:rPr>
              <w:t>Denominación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CB67C4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410ABE" w:rsidRPr="00CB67C4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:rsidR="00410ABE" w:rsidRPr="00CB67C4" w:rsidRDefault="00410ABE" w:rsidP="0098750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CB67C4" w:rsidRPr="00CB67C4" w:rsidTr="00CB67C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R01 - MC02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Comunicación da QSP</w:t>
            </w:r>
          </w:p>
          <w:p w:rsidR="00CB67C4" w:rsidRPr="00CB67C4" w:rsidRDefault="00CB67C4" w:rsidP="00CB67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(QSP formalizada)</w:t>
            </w:r>
          </w:p>
        </w:tc>
        <w:tc>
          <w:tcPr>
            <w:tcW w:w="1134" w:type="dxa"/>
            <w:gridSpan w:val="2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Electrónico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Non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UEP</w:t>
            </w:r>
          </w:p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(aplicación informática)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CB67C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3 anos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-</w:t>
            </w:r>
          </w:p>
        </w:tc>
      </w:tr>
      <w:tr w:rsidR="00CB67C4" w:rsidRPr="00CB67C4" w:rsidTr="00CB6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R02 - MC02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Informe e proposta de resposta validados</w:t>
            </w:r>
          </w:p>
          <w:p w:rsidR="00CB67C4" w:rsidRPr="00CB67C4" w:rsidRDefault="00CB67C4" w:rsidP="00CB67C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(QSP tratada)</w:t>
            </w:r>
          </w:p>
        </w:tc>
        <w:tc>
          <w:tcPr>
            <w:tcW w:w="1134" w:type="dxa"/>
            <w:gridSpan w:val="2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Electrónico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Non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UEP</w:t>
            </w:r>
          </w:p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(aplicación informática)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3 anos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-</w:t>
            </w:r>
          </w:p>
        </w:tc>
      </w:tr>
      <w:tr w:rsidR="00CB67C4" w:rsidRPr="00CB67C4" w:rsidTr="00CB67C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jc w:val="center"/>
              <w:rPr>
                <w:rFonts w:ascii="ITC New Baskerville Std" w:hAnsi="ITC New Baskerville Std"/>
                <w:b w:val="0"/>
                <w:bCs w:val="0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 w:val="0"/>
                <w:bCs w:val="0"/>
                <w:color w:val="auto"/>
                <w:sz w:val="18"/>
                <w:szCs w:val="18"/>
                <w:lang w:val="gl-ES"/>
              </w:rPr>
              <w:t>R03 - MC02 P1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CB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Informe de QSP periódico</w:t>
            </w:r>
          </w:p>
        </w:tc>
        <w:tc>
          <w:tcPr>
            <w:tcW w:w="1134" w:type="dxa"/>
            <w:gridSpan w:val="2"/>
            <w:tcBorders>
              <w:top w:val="single" w:sz="4" w:space="0" w:color="4BACC6" w:themeColor="accent5"/>
              <w:left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Electrónico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Non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UEP</w:t>
            </w:r>
          </w:p>
          <w:p w:rsidR="00CB67C4" w:rsidRPr="00CB67C4" w:rsidRDefault="00CB67C4" w:rsidP="006B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bCs/>
                <w:color w:val="auto"/>
                <w:sz w:val="18"/>
                <w:szCs w:val="18"/>
                <w:lang w:val="gl-ES"/>
              </w:rPr>
              <w:t>(aplicación informática)</w:t>
            </w:r>
          </w:p>
        </w:tc>
        <w:tc>
          <w:tcPr>
            <w:tcW w:w="99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CB67C4" w:rsidRPr="00CB67C4" w:rsidRDefault="00CB67C4" w:rsidP="006B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sz w:val="18"/>
                <w:szCs w:val="18"/>
                <w:lang w:val="gl-ES"/>
              </w:rPr>
            </w:pPr>
            <w:r w:rsidRPr="00CB67C4">
              <w:rPr>
                <w:rFonts w:ascii="ITC New Baskerville Std" w:hAnsi="ITC New Baskerville Std"/>
                <w:color w:val="auto"/>
                <w:sz w:val="18"/>
                <w:szCs w:val="18"/>
                <w:lang w:val="gl-ES"/>
              </w:rPr>
              <w:t>3 anos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</w:tcBorders>
            <w:vAlign w:val="center"/>
          </w:tcPr>
          <w:p w:rsidR="00CB67C4" w:rsidRPr="00CB67C4" w:rsidRDefault="0061266C" w:rsidP="006B29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sz w:val="18"/>
                <w:szCs w:val="18"/>
                <w:lang w:val="gl-ES"/>
              </w:rPr>
            </w:pPr>
            <w:r>
              <w:rPr>
                <w:rFonts w:ascii="ITC New Baskerville Std" w:hAnsi="ITC New Baskerville Std"/>
                <w:sz w:val="18"/>
                <w:szCs w:val="18"/>
                <w:lang w:val="gl-ES"/>
              </w:rPr>
              <w:t>-</w:t>
            </w:r>
          </w:p>
        </w:tc>
      </w:tr>
    </w:tbl>
    <w:p w:rsidR="00410ABE" w:rsidRPr="00CB67C4" w:rsidRDefault="00410ABE" w:rsidP="00C02D60">
      <w:pPr>
        <w:spacing w:after="0" w:line="240" w:lineRule="auto"/>
        <w:ind w:left="-284"/>
        <w:rPr>
          <w:rFonts w:ascii="ITC New Baskerville Std" w:eastAsia="Times New Roman" w:hAnsi="ITC New Baskerville Std" w:cstheme="minorHAnsi"/>
          <w:sz w:val="20"/>
          <w:szCs w:val="24"/>
          <w:u w:val="single"/>
          <w:lang w:eastAsia="fr-FR"/>
        </w:rPr>
      </w:pPr>
    </w:p>
    <w:p w:rsidR="00C02D60" w:rsidRPr="00CB67C4" w:rsidRDefault="00C02D60" w:rsidP="00C02D60">
      <w:pPr>
        <w:spacing w:after="0" w:line="240" w:lineRule="auto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(*) </w:t>
      </w:r>
      <w:r w:rsidR="008D4C03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Cú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br</w:t>
      </w:r>
      <w:r w:rsidR="008D4C03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ase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só no caso de que o rexistro est</w:t>
      </w:r>
      <w:r w:rsidR="002B4BA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ea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suxeito a condicións de permanencia adicionais ao período de ar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de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estión (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d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cir, cando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é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necesaria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a 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s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úa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transferencia posterior a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o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="008D4C03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ivo </w:t>
      </w:r>
      <w:r w:rsidR="00AD2FB4"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</w:t>
      </w:r>
      <w:r w:rsidRPr="00CB67C4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eral).</w:t>
      </w: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C02D60" w:rsidRPr="00CB67C4" w:rsidRDefault="00C02D60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CB67C4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821763" w:rsidRPr="00CB67C4" w:rsidRDefault="00821763" w:rsidP="00821763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:rsidR="00D71D80" w:rsidRPr="00CB67C4" w:rsidRDefault="00D71D80" w:rsidP="00821763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sectPr w:rsidR="00D71D80" w:rsidRPr="00CB67C4" w:rsidSect="0058229D">
      <w:headerReference w:type="default" r:id="rId23"/>
      <w:footerReference w:type="default" r:id="rId24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CA" w:rsidRDefault="007762CA" w:rsidP="0098653E">
      <w:pPr>
        <w:spacing w:after="0" w:line="240" w:lineRule="auto"/>
      </w:pPr>
      <w:r>
        <w:separator/>
      </w:r>
    </w:p>
  </w:endnote>
  <w:endnote w:type="continuationSeparator" w:id="0">
    <w:p w:rsidR="007762CA" w:rsidRDefault="007762CA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New Baskervil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102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637"/>
      <w:gridCol w:w="2126"/>
      <w:gridCol w:w="1844"/>
      <w:gridCol w:w="1417"/>
    </w:tblGrid>
    <w:tr w:rsidR="007762CA" w:rsidTr="00C5143E">
      <w:trPr>
        <w:trHeight w:val="988"/>
      </w:trPr>
      <w:tc>
        <w:tcPr>
          <w:tcW w:w="5637" w:type="dxa"/>
          <w:shd w:val="clear" w:color="auto" w:fill="auto"/>
          <w:vAlign w:val="center"/>
        </w:tcPr>
        <w:p w:rsidR="007762CA" w:rsidRDefault="007762CA" w:rsidP="00895794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13439D03" wp14:editId="23EB33B0">
                <wp:extent cx="2468880" cy="436880"/>
                <wp:effectExtent l="25400" t="0" r="0" b="0"/>
                <wp:docPr id="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Pr="00163CB3" w:rsidRDefault="007762CA" w:rsidP="00895794">
          <w:pPr>
            <w:pStyle w:val="AreaCalidade"/>
            <w:rPr>
              <w:color w:val="E1752A"/>
            </w:rPr>
          </w:pPr>
          <w:r>
            <w:t xml:space="preserve">Área de Apoio á Docencia e </w:t>
          </w:r>
          <w:r w:rsidRPr="00B00F1D">
            <w:t>Calidade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Pr="000128BA" w:rsidRDefault="007762CA" w:rsidP="00895794">
          <w:pPr>
            <w:pStyle w:val="Enderezo"/>
            <w:ind w:left="0"/>
          </w:pPr>
          <w:r w:rsidRPr="00C63136">
            <w:t xml:space="preserve">Edificio </w:t>
          </w:r>
          <w:r>
            <w:t>CACTI</w:t>
          </w:r>
          <w:r w:rsidRPr="00C63136">
            <w:br/>
            <w:t xml:space="preserve">Campus </w:t>
          </w:r>
          <w:r>
            <w:t>Universitario</w:t>
          </w:r>
          <w:r w:rsidRPr="00C63136">
            <w:br/>
            <w:t xml:space="preserve">36310 Vigo </w:t>
          </w:r>
          <w:r w:rsidRPr="00C6313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Default="007762CA" w:rsidP="00895794">
          <w:pPr>
            <w:pStyle w:val="Enderezocomprimido"/>
            <w:rPr>
              <w:spacing w:val="0"/>
            </w:rPr>
          </w:pPr>
          <w:r>
            <w:t>Tel. 986 813 897</w:t>
          </w:r>
          <w:r>
            <w:br/>
            <w:t>Fax 986 813 818</w:t>
          </w:r>
          <w:r w:rsidRPr="000128BA">
            <w:rPr>
              <w:spacing w:val="0"/>
            </w:rPr>
            <w:br/>
          </w:r>
          <w:r>
            <w:rPr>
              <w:spacing w:val="0"/>
            </w:rPr>
            <w:t>calidade.uvigo.es</w:t>
          </w:r>
        </w:p>
        <w:p w:rsidR="007762CA" w:rsidRPr="00163CB3" w:rsidRDefault="007762CA" w:rsidP="00895794">
          <w:pPr>
            <w:pStyle w:val="Enderezocomprimido"/>
            <w:rPr>
              <w:color w:val="ED6E00"/>
              <w:spacing w:val="0"/>
            </w:rPr>
          </w:pPr>
        </w:p>
      </w:tc>
    </w:tr>
    <w:tr w:rsidR="007762CA" w:rsidTr="00C5143E">
      <w:trPr>
        <w:trHeight w:val="988"/>
      </w:trPr>
      <w:tc>
        <w:tcPr>
          <w:tcW w:w="5637" w:type="dxa"/>
          <w:shd w:val="clear" w:color="auto" w:fill="auto"/>
          <w:vAlign w:val="center"/>
        </w:tcPr>
        <w:p w:rsidR="007762CA" w:rsidRDefault="007762CA" w:rsidP="00895794">
          <w:pPr>
            <w:pStyle w:val="logo"/>
            <w:rPr>
              <w:noProof/>
              <w:lang w:val="es-ES" w:eastAsia="es-ES"/>
            </w:rPr>
          </w:pPr>
        </w:p>
      </w:tc>
      <w:tc>
        <w:tcPr>
          <w:tcW w:w="2126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762CA" w:rsidRPr="00746BD6" w:rsidRDefault="007762CA" w:rsidP="00895794">
          <w:pPr>
            <w:spacing w:before="120"/>
            <w:rPr>
              <w:rFonts w:ascii="Arial" w:hAnsi="Arial" w:cs="Arial"/>
              <w:color w:val="857040"/>
              <w:sz w:val="20"/>
              <w:szCs w:val="20"/>
              <w:lang w:val="es-ES"/>
            </w:rPr>
          </w:pP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>Unidad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de Estudos 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Programas</w:t>
          </w:r>
        </w:p>
      </w:tc>
      <w:tc>
        <w:tcPr>
          <w:tcW w:w="1844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Pr="00746BD6" w:rsidRDefault="007762CA" w:rsidP="00895794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>Edificio CACTI</w:t>
          </w:r>
        </w:p>
        <w:p w:rsidR="007762CA" w:rsidRPr="00746BD6" w:rsidRDefault="007762CA" w:rsidP="00895794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>Campus Universitario</w:t>
          </w:r>
        </w:p>
        <w:p w:rsidR="007762CA" w:rsidRPr="00746BD6" w:rsidRDefault="007762CA" w:rsidP="00895794">
          <w:pPr>
            <w:pStyle w:val="Enderezo"/>
            <w:rPr>
              <w:sz w:val="18"/>
              <w:szCs w:val="18"/>
            </w:rPr>
          </w:pPr>
          <w:r w:rsidRPr="00746BD6">
            <w:rPr>
              <w:sz w:val="18"/>
              <w:szCs w:val="18"/>
            </w:rPr>
            <w:t xml:space="preserve">36310 Vigo </w:t>
          </w:r>
        </w:p>
        <w:p w:rsidR="007762CA" w:rsidRPr="00746BD6" w:rsidRDefault="007762CA" w:rsidP="00895794">
          <w:pPr>
            <w:pStyle w:val="Enderezo"/>
            <w:ind w:left="0"/>
          </w:pPr>
          <w:r w:rsidRPr="00746BD6">
            <w:rPr>
              <w:sz w:val="18"/>
              <w:szCs w:val="18"/>
            </w:rPr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Pr="00163CB3" w:rsidRDefault="007762CA" w:rsidP="00895794">
          <w:pPr>
            <w:pStyle w:val="Enderezocomprimido"/>
            <w:rPr>
              <w:color w:val="ED6E00"/>
              <w:spacing w:val="0"/>
            </w:rPr>
          </w:pPr>
          <w:r w:rsidRPr="00410EC5">
            <w:t>Tel. 986 81</w:t>
          </w:r>
          <w:r>
            <w:t>8</w:t>
          </w:r>
          <w:r w:rsidRPr="00410EC5">
            <w:t xml:space="preserve"> </w:t>
          </w:r>
          <w:r>
            <w:t>689</w:t>
          </w:r>
          <w:r w:rsidRPr="00410EC5">
            <w:br/>
            <w:t>Fax 986 81</w:t>
          </w:r>
          <w:r>
            <w:t>2</w:t>
          </w:r>
          <w:r w:rsidRPr="00410EC5">
            <w:t xml:space="preserve"> </w:t>
          </w:r>
          <w:r>
            <w:t>060</w:t>
          </w:r>
          <w:r w:rsidRPr="000128BA">
            <w:rPr>
              <w:spacing w:val="0"/>
            </w:rPr>
            <w:br/>
          </w:r>
        </w:p>
      </w:tc>
    </w:tr>
  </w:tbl>
  <w:p w:rsidR="007762CA" w:rsidRPr="00A12ED1" w:rsidRDefault="007762CA" w:rsidP="00895794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es-ES" w:eastAsia="es-ES"/>
      </w:rPr>
    </w:pPr>
  </w:p>
  <w:p w:rsidR="007762CA" w:rsidRDefault="007762CA" w:rsidP="008957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7762CA" w:rsidTr="00C5143E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7762CA" w:rsidRDefault="007762CA" w:rsidP="00895794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26737F5A" wp14:editId="37E96F45">
                <wp:extent cx="2468880" cy="436880"/>
                <wp:effectExtent l="25400" t="0" r="0" b="0"/>
                <wp:docPr id="4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Pr="00163CB3" w:rsidRDefault="007762CA" w:rsidP="00895794">
          <w:pPr>
            <w:pStyle w:val="AreaCalidade"/>
            <w:rPr>
              <w:color w:val="E1752A"/>
            </w:rPr>
          </w:pPr>
          <w:r>
            <w:t xml:space="preserve">Área de Apoio á Docencia e </w:t>
          </w:r>
          <w:r w:rsidRPr="00B00F1D">
            <w:t>Calidade</w:t>
          </w:r>
        </w:p>
      </w:tc>
    </w:tr>
    <w:tr w:rsidR="007762CA" w:rsidTr="00C5143E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7762CA" w:rsidRDefault="007762CA" w:rsidP="00895794">
          <w:pPr>
            <w:pStyle w:val="logo"/>
            <w:ind w:right="360"/>
            <w:rPr>
              <w:noProof/>
              <w:lang w:val="es-ES" w:eastAsia="es-ES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7762CA" w:rsidRDefault="007762CA" w:rsidP="00895794">
          <w:pPr>
            <w:pStyle w:val="AreaCalidade"/>
          </w:pP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>Unidad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de Estudos 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Programas</w:t>
          </w:r>
        </w:p>
      </w:tc>
    </w:tr>
  </w:tbl>
  <w:p w:rsidR="007762CA" w:rsidRPr="00A12ED1" w:rsidRDefault="007762CA" w:rsidP="00895794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  <w:lang w:val="es-ES" w:eastAsia="es-ES"/>
      </w:rPr>
    </w:pPr>
    <w:r w:rsidRPr="00A12ED1">
      <w:rPr>
        <w:rFonts w:ascii="Verdana" w:eastAsia="Times New Roman" w:hAnsi="Verdana" w:cs="Times New Roman"/>
        <w:sz w:val="20"/>
        <w:szCs w:val="20"/>
        <w:lang w:val="es-ES" w:eastAsia="es-ES"/>
      </w:rPr>
      <w:tab/>
    </w:r>
    <w:r>
      <w:rPr>
        <w:rFonts w:eastAsia="Times New Roman" w:cstheme="minorHAnsi"/>
        <w:sz w:val="16"/>
        <w:szCs w:val="16"/>
        <w:lang w:val="es-ES" w:eastAsia="es-ES"/>
      </w:rPr>
      <w:t xml:space="preserve"> </w:t>
    </w:r>
  </w:p>
  <w:p w:rsidR="007762CA" w:rsidRPr="005D4365" w:rsidRDefault="007762CA" w:rsidP="00895794">
    <w:pPr>
      <w:pStyle w:val="Piedepgina"/>
      <w:jc w:val="center"/>
      <w:rPr>
        <w:rFonts w:cstheme="minorHAnsi"/>
        <w:sz w:val="16"/>
        <w:szCs w:val="16"/>
      </w:rPr>
    </w:pPr>
  </w:p>
  <w:p w:rsidR="007762CA" w:rsidRPr="002C469B" w:rsidRDefault="007762CA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CA" w:rsidRDefault="007762CA" w:rsidP="0098653E">
      <w:pPr>
        <w:spacing w:after="0" w:line="240" w:lineRule="auto"/>
      </w:pPr>
      <w:r>
        <w:separator/>
      </w:r>
    </w:p>
  </w:footnote>
  <w:footnote w:type="continuationSeparator" w:id="0">
    <w:p w:rsidR="007762CA" w:rsidRDefault="007762CA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A" w:rsidRPr="009D343B" w:rsidRDefault="007762CA" w:rsidP="00C5143E">
    <w:pPr>
      <w:pStyle w:val="Encabezado"/>
      <w:tabs>
        <w:tab w:val="left" w:pos="4863"/>
      </w:tabs>
      <w:rPr>
        <w:b/>
        <w:color w:val="00B0F0"/>
        <w:lang w:val="es-ES"/>
      </w:rPr>
    </w:pPr>
    <w:r>
      <w:rPr>
        <w:lang w:val="es-ES"/>
      </w:rPr>
      <w:tab/>
    </w:r>
    <w:r>
      <w:rPr>
        <w:lang w:val="es-ES"/>
      </w:rPr>
      <w:tab/>
    </w:r>
    <w:r w:rsidR="00C5143E"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A" w:rsidRPr="00094E2D" w:rsidRDefault="007762CA" w:rsidP="00442A24">
    <w:pPr>
      <w:pBdr>
        <w:top w:val="single" w:sz="8" w:space="1" w:color="auto"/>
      </w:pBdr>
      <w:tabs>
        <w:tab w:val="center" w:pos="4252"/>
        <w:tab w:val="right" w:pos="9781"/>
      </w:tabs>
      <w:spacing w:after="0" w:line="360" w:lineRule="auto"/>
      <w:ind w:left="-709" w:right="-284"/>
      <w:rPr>
        <w:rFonts w:ascii="ITC New Baskerville Std" w:hAnsi="ITC New Baskerville Std"/>
        <w:sz w:val="18"/>
      </w:rPr>
    </w:pPr>
    <w:r w:rsidRPr="00094E2D">
      <w:rPr>
        <w:rFonts w:ascii="ITC New Baskerville Std" w:hAnsi="ITC New Baskerville Std"/>
        <w:sz w:val="18"/>
      </w:rPr>
      <w:t xml:space="preserve">PROCEDEMENTO </w:t>
    </w:r>
    <w:r w:rsidRPr="00A56F92">
      <w:rPr>
        <w:rFonts w:ascii="ITC New Baskerville Std" w:hAnsi="ITC New Baskerville Std"/>
      </w:rPr>
      <w:t>Xestión das queixas, suxestións e parabéns</w:t>
    </w:r>
    <w:r w:rsidRPr="00094E2D">
      <w:rPr>
        <w:rFonts w:ascii="ITC New Baskerville Std" w:hAnsi="ITC New Baskerville Std"/>
        <w:sz w:val="18"/>
      </w:rPr>
      <w:tab/>
      <w:t xml:space="preserve">            </w:t>
    </w:r>
    <w:r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MC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-0</w:t>
    </w:r>
    <w:r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>2</w:t>
    </w:r>
    <w:r w:rsidRPr="00094E2D">
      <w:rPr>
        <w:rFonts w:ascii="ITC New Baskerville Std" w:eastAsia="Times New Roman" w:hAnsi="ITC New Baskerville Std" w:cs="Times New Roman"/>
        <w:b/>
        <w:sz w:val="18"/>
        <w:szCs w:val="20"/>
        <w:lang w:eastAsia="es-ES"/>
      </w:rPr>
      <w:t xml:space="preserve"> P1</w:t>
    </w:r>
  </w:p>
  <w:p w:rsidR="007762CA" w:rsidRPr="00DD2DFD" w:rsidRDefault="007762CA" w:rsidP="00442A24">
    <w:pPr>
      <w:framePr w:w="1075" w:wrap="around" w:vAnchor="text" w:hAnchor="page" w:x="9904" w:y="1"/>
      <w:tabs>
        <w:tab w:val="center" w:pos="4252"/>
        <w:tab w:val="right" w:pos="8504"/>
      </w:tabs>
      <w:spacing w:after="0" w:line="240" w:lineRule="auto"/>
      <w:rPr>
        <w:rFonts w:ascii="ITC New Baskerville Std" w:hAnsi="ITC New Baskerville Std"/>
        <w:sz w:val="16"/>
        <w:szCs w:val="16"/>
      </w:rPr>
    </w:pPr>
    <w:r w:rsidRPr="00DD2DFD">
      <w:rPr>
        <w:rFonts w:ascii="ITC New Baskerville Std" w:hAnsi="ITC New Baskerville Std"/>
        <w:sz w:val="16"/>
        <w:szCs w:val="16"/>
      </w:rPr>
      <w:t xml:space="preserve">Páxina </w:t>
    </w:r>
    <w:r w:rsidRPr="00DD2DFD">
      <w:rPr>
        <w:rFonts w:ascii="ITC New Baskerville Std" w:hAnsi="ITC New Baskerville Std"/>
        <w:sz w:val="16"/>
        <w:szCs w:val="16"/>
      </w:rPr>
      <w:fldChar w:fldCharType="begin"/>
    </w:r>
    <w:r w:rsidRPr="00DD2DFD">
      <w:rPr>
        <w:rFonts w:ascii="ITC New Baskerville Std" w:hAnsi="ITC New Baskerville Std"/>
        <w:sz w:val="16"/>
        <w:szCs w:val="16"/>
      </w:rPr>
      <w:instrText xml:space="preserve">PAGE  </w:instrText>
    </w:r>
    <w:r w:rsidRPr="00DD2DFD">
      <w:rPr>
        <w:rFonts w:ascii="ITC New Baskerville Std" w:hAnsi="ITC New Baskerville Std"/>
        <w:sz w:val="16"/>
        <w:szCs w:val="16"/>
      </w:rPr>
      <w:fldChar w:fldCharType="separate"/>
    </w:r>
    <w:r w:rsidR="004D5897">
      <w:rPr>
        <w:rFonts w:ascii="ITC New Baskerville Std" w:hAnsi="ITC New Baskerville Std"/>
        <w:noProof/>
        <w:sz w:val="16"/>
        <w:szCs w:val="16"/>
      </w:rPr>
      <w:t>2</w:t>
    </w:r>
    <w:r w:rsidRPr="00DD2DFD">
      <w:rPr>
        <w:rFonts w:ascii="ITC New Baskerville Std" w:hAnsi="ITC New Baskerville Std"/>
        <w:sz w:val="16"/>
        <w:szCs w:val="16"/>
      </w:rPr>
      <w:fldChar w:fldCharType="end"/>
    </w:r>
    <w:r w:rsidRPr="00DD2DFD">
      <w:rPr>
        <w:rFonts w:ascii="ITC New Baskerville Std" w:hAnsi="ITC New Baskerville Std"/>
        <w:sz w:val="16"/>
        <w:szCs w:val="16"/>
      </w:rPr>
      <w:t xml:space="preserve"> de </w:t>
    </w:r>
    <w:r w:rsidR="004D5897">
      <w:rPr>
        <w:rFonts w:ascii="ITC New Baskerville Std" w:hAnsi="ITC New Baskerville Std"/>
        <w:sz w:val="16"/>
        <w:szCs w:val="16"/>
      </w:rPr>
      <w:t>14</w:t>
    </w:r>
  </w:p>
  <w:p w:rsidR="007762CA" w:rsidRPr="00442A24" w:rsidRDefault="007762CA" w:rsidP="00442A24">
    <w:pPr>
      <w:tabs>
        <w:tab w:val="center" w:pos="4252"/>
        <w:tab w:val="right" w:pos="8504"/>
      </w:tabs>
      <w:spacing w:after="0" w:line="360" w:lineRule="auto"/>
      <w:ind w:left="-709"/>
      <w:rPr>
        <w:rFonts w:ascii="ITC New Baskerville Std" w:hAnsi="ITC New Baskerville Std"/>
        <w:i/>
        <w:lang w:val="es-ES"/>
      </w:rPr>
    </w:pPr>
    <w:r w:rsidRPr="00442A24">
      <w:rPr>
        <w:rFonts w:ascii="ITC New Baskerville Std" w:eastAsia="Times New Roman" w:hAnsi="ITC New Baskerville Std" w:cs="Times New Roman"/>
        <w:sz w:val="18"/>
        <w:szCs w:val="20"/>
        <w:lang w:val="es-ES" w:eastAsia="es-ES"/>
      </w:rPr>
      <w:t>Índice</w:t>
    </w:r>
    <w:r w:rsidRPr="00442A24"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 xml:space="preserve"> 0</w:t>
    </w:r>
    <w:r>
      <w:rPr>
        <w:rFonts w:ascii="ITC New Baskerville Std" w:eastAsia="Times New Roman" w:hAnsi="ITC New Baskerville Std" w:cs="Times New Roman"/>
        <w:b/>
        <w:sz w:val="18"/>
        <w:szCs w:val="20"/>
        <w:lang w:val="es-ES" w:eastAsia="es-ES"/>
      </w:rPr>
      <w:t>4</w:t>
    </w:r>
  </w:p>
  <w:p w:rsidR="007762CA" w:rsidRPr="009D343B" w:rsidRDefault="007762CA" w:rsidP="002918D2">
    <w:pPr>
      <w:pStyle w:val="Encabezado"/>
      <w:spacing w:line="360" w:lineRule="auto"/>
      <w:rPr>
        <w:b/>
        <w:color w:val="00B0F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8850BA5"/>
    <w:multiLevelType w:val="hybridMultilevel"/>
    <w:tmpl w:val="CC8A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6FC1"/>
    <w:multiLevelType w:val="hybridMultilevel"/>
    <w:tmpl w:val="0F94FC66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74E97"/>
    <w:multiLevelType w:val="hybridMultilevel"/>
    <w:tmpl w:val="7E38AFE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51ED"/>
    <w:multiLevelType w:val="hybridMultilevel"/>
    <w:tmpl w:val="20803522"/>
    <w:lvl w:ilvl="0" w:tplc="4D041B8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39BB"/>
    <w:multiLevelType w:val="hybridMultilevel"/>
    <w:tmpl w:val="D87CBFD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hyphenationZone w:val="425"/>
  <w:characterSpacingControl w:val="doNotCompress"/>
  <w:hdrShapeDefaults>
    <o:shapedefaults v:ext="edit" spidmax="10241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21DF7"/>
    <w:rsid w:val="00025ACB"/>
    <w:rsid w:val="000274FB"/>
    <w:rsid w:val="00027F13"/>
    <w:rsid w:val="00033EE8"/>
    <w:rsid w:val="0003412F"/>
    <w:rsid w:val="000344F3"/>
    <w:rsid w:val="00034602"/>
    <w:rsid w:val="00042979"/>
    <w:rsid w:val="00050B2D"/>
    <w:rsid w:val="00052879"/>
    <w:rsid w:val="00065A52"/>
    <w:rsid w:val="00072916"/>
    <w:rsid w:val="00073934"/>
    <w:rsid w:val="0007448C"/>
    <w:rsid w:val="00075966"/>
    <w:rsid w:val="00076982"/>
    <w:rsid w:val="000845D1"/>
    <w:rsid w:val="000846D5"/>
    <w:rsid w:val="000874E8"/>
    <w:rsid w:val="000913FE"/>
    <w:rsid w:val="0009151A"/>
    <w:rsid w:val="00091BA8"/>
    <w:rsid w:val="00092B72"/>
    <w:rsid w:val="000933A2"/>
    <w:rsid w:val="00093517"/>
    <w:rsid w:val="00094E2D"/>
    <w:rsid w:val="000960D5"/>
    <w:rsid w:val="000A1819"/>
    <w:rsid w:val="000A5B82"/>
    <w:rsid w:val="000B09DC"/>
    <w:rsid w:val="000B3F1B"/>
    <w:rsid w:val="000B4D61"/>
    <w:rsid w:val="000B4EAC"/>
    <w:rsid w:val="000B7DD2"/>
    <w:rsid w:val="000C0D32"/>
    <w:rsid w:val="000C1FF8"/>
    <w:rsid w:val="000C3FD4"/>
    <w:rsid w:val="000C4D1E"/>
    <w:rsid w:val="000D332A"/>
    <w:rsid w:val="000D6BC2"/>
    <w:rsid w:val="000D71D8"/>
    <w:rsid w:val="000D7731"/>
    <w:rsid w:val="000E2C12"/>
    <w:rsid w:val="000E3C97"/>
    <w:rsid w:val="000E5194"/>
    <w:rsid w:val="000E62D1"/>
    <w:rsid w:val="000F13B3"/>
    <w:rsid w:val="000F161F"/>
    <w:rsid w:val="000F19D6"/>
    <w:rsid w:val="000F72EF"/>
    <w:rsid w:val="00100A8B"/>
    <w:rsid w:val="00101451"/>
    <w:rsid w:val="0010225C"/>
    <w:rsid w:val="00112F70"/>
    <w:rsid w:val="001147C1"/>
    <w:rsid w:val="00116CB2"/>
    <w:rsid w:val="00117CD0"/>
    <w:rsid w:val="001259BC"/>
    <w:rsid w:val="0012774A"/>
    <w:rsid w:val="00134292"/>
    <w:rsid w:val="001361F9"/>
    <w:rsid w:val="00136C43"/>
    <w:rsid w:val="00142746"/>
    <w:rsid w:val="00142783"/>
    <w:rsid w:val="001467DF"/>
    <w:rsid w:val="00146A37"/>
    <w:rsid w:val="00157A63"/>
    <w:rsid w:val="00160A33"/>
    <w:rsid w:val="00160BBB"/>
    <w:rsid w:val="00161DF5"/>
    <w:rsid w:val="00163CB3"/>
    <w:rsid w:val="00165EC2"/>
    <w:rsid w:val="00167E21"/>
    <w:rsid w:val="00175D24"/>
    <w:rsid w:val="00176A17"/>
    <w:rsid w:val="00177CB6"/>
    <w:rsid w:val="0018209A"/>
    <w:rsid w:val="00183D15"/>
    <w:rsid w:val="00184FD3"/>
    <w:rsid w:val="00187D84"/>
    <w:rsid w:val="00196461"/>
    <w:rsid w:val="001A0B69"/>
    <w:rsid w:val="001A3FCD"/>
    <w:rsid w:val="001A70B1"/>
    <w:rsid w:val="001B5517"/>
    <w:rsid w:val="001C1447"/>
    <w:rsid w:val="001C546B"/>
    <w:rsid w:val="001C773E"/>
    <w:rsid w:val="001D0990"/>
    <w:rsid w:val="001D21F8"/>
    <w:rsid w:val="001D2725"/>
    <w:rsid w:val="001D61C5"/>
    <w:rsid w:val="001E3938"/>
    <w:rsid w:val="001F1E03"/>
    <w:rsid w:val="001F23EA"/>
    <w:rsid w:val="001F26F5"/>
    <w:rsid w:val="001F5A38"/>
    <w:rsid w:val="00201661"/>
    <w:rsid w:val="002020DA"/>
    <w:rsid w:val="002063B1"/>
    <w:rsid w:val="00206565"/>
    <w:rsid w:val="00206D31"/>
    <w:rsid w:val="002211D0"/>
    <w:rsid w:val="00225535"/>
    <w:rsid w:val="0022775F"/>
    <w:rsid w:val="0023117C"/>
    <w:rsid w:val="00231A74"/>
    <w:rsid w:val="00237AAD"/>
    <w:rsid w:val="00241645"/>
    <w:rsid w:val="00241AF4"/>
    <w:rsid w:val="002424A4"/>
    <w:rsid w:val="002433DA"/>
    <w:rsid w:val="0024387D"/>
    <w:rsid w:val="002473A5"/>
    <w:rsid w:val="00251A7B"/>
    <w:rsid w:val="00252BAA"/>
    <w:rsid w:val="00252F96"/>
    <w:rsid w:val="00255BA0"/>
    <w:rsid w:val="0025626E"/>
    <w:rsid w:val="00256A97"/>
    <w:rsid w:val="002624FD"/>
    <w:rsid w:val="002651B9"/>
    <w:rsid w:val="00271F3A"/>
    <w:rsid w:val="002918D2"/>
    <w:rsid w:val="00291D62"/>
    <w:rsid w:val="00291E44"/>
    <w:rsid w:val="00292601"/>
    <w:rsid w:val="00295404"/>
    <w:rsid w:val="00295877"/>
    <w:rsid w:val="002A036E"/>
    <w:rsid w:val="002A2D6D"/>
    <w:rsid w:val="002A52E3"/>
    <w:rsid w:val="002B09E5"/>
    <w:rsid w:val="002B4BA4"/>
    <w:rsid w:val="002B71F2"/>
    <w:rsid w:val="002B75B7"/>
    <w:rsid w:val="002B783B"/>
    <w:rsid w:val="002C07F7"/>
    <w:rsid w:val="002C2AFD"/>
    <w:rsid w:val="002C469B"/>
    <w:rsid w:val="002D0D3C"/>
    <w:rsid w:val="002D168F"/>
    <w:rsid w:val="002D67A2"/>
    <w:rsid w:val="002E0029"/>
    <w:rsid w:val="002E3EAB"/>
    <w:rsid w:val="002E570B"/>
    <w:rsid w:val="002E59F1"/>
    <w:rsid w:val="002F1F38"/>
    <w:rsid w:val="002F2843"/>
    <w:rsid w:val="002F34E9"/>
    <w:rsid w:val="002F7A0D"/>
    <w:rsid w:val="00301DCF"/>
    <w:rsid w:val="00301DD4"/>
    <w:rsid w:val="00307A33"/>
    <w:rsid w:val="0031303F"/>
    <w:rsid w:val="00313C8A"/>
    <w:rsid w:val="00314292"/>
    <w:rsid w:val="00316BD0"/>
    <w:rsid w:val="003243A3"/>
    <w:rsid w:val="0032724B"/>
    <w:rsid w:val="003376B2"/>
    <w:rsid w:val="00341C44"/>
    <w:rsid w:val="003453B7"/>
    <w:rsid w:val="00350F9B"/>
    <w:rsid w:val="00351AEA"/>
    <w:rsid w:val="00352116"/>
    <w:rsid w:val="003541F3"/>
    <w:rsid w:val="00354B7A"/>
    <w:rsid w:val="003551CB"/>
    <w:rsid w:val="00357E21"/>
    <w:rsid w:val="00360469"/>
    <w:rsid w:val="003622F4"/>
    <w:rsid w:val="00365B81"/>
    <w:rsid w:val="00365D86"/>
    <w:rsid w:val="00366AE0"/>
    <w:rsid w:val="00366BE1"/>
    <w:rsid w:val="00371528"/>
    <w:rsid w:val="00372696"/>
    <w:rsid w:val="003729C6"/>
    <w:rsid w:val="003739A6"/>
    <w:rsid w:val="0037505E"/>
    <w:rsid w:val="00382139"/>
    <w:rsid w:val="0038304B"/>
    <w:rsid w:val="0038647E"/>
    <w:rsid w:val="0038765F"/>
    <w:rsid w:val="00387C36"/>
    <w:rsid w:val="00390F68"/>
    <w:rsid w:val="00390FAE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11AD"/>
    <w:rsid w:val="003B689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5B1"/>
    <w:rsid w:val="003E1834"/>
    <w:rsid w:val="003E34AB"/>
    <w:rsid w:val="003E40B2"/>
    <w:rsid w:val="003E609D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10ABE"/>
    <w:rsid w:val="00410F80"/>
    <w:rsid w:val="004127EE"/>
    <w:rsid w:val="004136F1"/>
    <w:rsid w:val="004146F3"/>
    <w:rsid w:val="00417584"/>
    <w:rsid w:val="00422187"/>
    <w:rsid w:val="00424DA1"/>
    <w:rsid w:val="00427E7C"/>
    <w:rsid w:val="004318F4"/>
    <w:rsid w:val="00432051"/>
    <w:rsid w:val="00435341"/>
    <w:rsid w:val="00437457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0E3E"/>
    <w:rsid w:val="00453726"/>
    <w:rsid w:val="00456243"/>
    <w:rsid w:val="00457D63"/>
    <w:rsid w:val="00461899"/>
    <w:rsid w:val="004630F6"/>
    <w:rsid w:val="00463F3C"/>
    <w:rsid w:val="00464CF1"/>
    <w:rsid w:val="004652E7"/>
    <w:rsid w:val="00466000"/>
    <w:rsid w:val="004742D8"/>
    <w:rsid w:val="004750C0"/>
    <w:rsid w:val="00476B88"/>
    <w:rsid w:val="00481F82"/>
    <w:rsid w:val="004855C0"/>
    <w:rsid w:val="0048755A"/>
    <w:rsid w:val="004900B1"/>
    <w:rsid w:val="0049154B"/>
    <w:rsid w:val="00491776"/>
    <w:rsid w:val="004930A4"/>
    <w:rsid w:val="00495C0F"/>
    <w:rsid w:val="004A028E"/>
    <w:rsid w:val="004A2259"/>
    <w:rsid w:val="004A24BF"/>
    <w:rsid w:val="004B2988"/>
    <w:rsid w:val="004B54B4"/>
    <w:rsid w:val="004B744D"/>
    <w:rsid w:val="004C08A1"/>
    <w:rsid w:val="004C487C"/>
    <w:rsid w:val="004C4ECD"/>
    <w:rsid w:val="004C7E97"/>
    <w:rsid w:val="004C7EC3"/>
    <w:rsid w:val="004D397B"/>
    <w:rsid w:val="004D3B0B"/>
    <w:rsid w:val="004D3F13"/>
    <w:rsid w:val="004D5897"/>
    <w:rsid w:val="004E0FD6"/>
    <w:rsid w:val="004E1645"/>
    <w:rsid w:val="004E2C41"/>
    <w:rsid w:val="004E2F24"/>
    <w:rsid w:val="004E5B89"/>
    <w:rsid w:val="004E5BB5"/>
    <w:rsid w:val="004F0B3F"/>
    <w:rsid w:val="004F40A7"/>
    <w:rsid w:val="004F5C79"/>
    <w:rsid w:val="004F5FD9"/>
    <w:rsid w:val="004F72E3"/>
    <w:rsid w:val="005065C1"/>
    <w:rsid w:val="005140FE"/>
    <w:rsid w:val="005153C3"/>
    <w:rsid w:val="00516773"/>
    <w:rsid w:val="00523F49"/>
    <w:rsid w:val="005241C1"/>
    <w:rsid w:val="00524A22"/>
    <w:rsid w:val="00530125"/>
    <w:rsid w:val="005341C2"/>
    <w:rsid w:val="005343E5"/>
    <w:rsid w:val="00534C74"/>
    <w:rsid w:val="0053645D"/>
    <w:rsid w:val="00540A19"/>
    <w:rsid w:val="00543473"/>
    <w:rsid w:val="00545DCD"/>
    <w:rsid w:val="0054601F"/>
    <w:rsid w:val="00551255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030B"/>
    <w:rsid w:val="00577572"/>
    <w:rsid w:val="005810F8"/>
    <w:rsid w:val="0058229D"/>
    <w:rsid w:val="00587BBB"/>
    <w:rsid w:val="00590BD5"/>
    <w:rsid w:val="00591ECF"/>
    <w:rsid w:val="0059337E"/>
    <w:rsid w:val="00594FF1"/>
    <w:rsid w:val="005956C3"/>
    <w:rsid w:val="00596EDA"/>
    <w:rsid w:val="005973D5"/>
    <w:rsid w:val="00597544"/>
    <w:rsid w:val="005A03BA"/>
    <w:rsid w:val="005A3646"/>
    <w:rsid w:val="005A3C55"/>
    <w:rsid w:val="005A5EE6"/>
    <w:rsid w:val="005B1A64"/>
    <w:rsid w:val="005B1CE5"/>
    <w:rsid w:val="005B431B"/>
    <w:rsid w:val="005B5AF4"/>
    <w:rsid w:val="005B6775"/>
    <w:rsid w:val="005C1D94"/>
    <w:rsid w:val="005C385B"/>
    <w:rsid w:val="005C3A96"/>
    <w:rsid w:val="005C4C16"/>
    <w:rsid w:val="005C5BA4"/>
    <w:rsid w:val="005D4365"/>
    <w:rsid w:val="005D4404"/>
    <w:rsid w:val="005D48ED"/>
    <w:rsid w:val="005D5161"/>
    <w:rsid w:val="005E20FF"/>
    <w:rsid w:val="005E684E"/>
    <w:rsid w:val="005F14C1"/>
    <w:rsid w:val="00600F18"/>
    <w:rsid w:val="006024DC"/>
    <w:rsid w:val="006043D9"/>
    <w:rsid w:val="00604B3C"/>
    <w:rsid w:val="0060578C"/>
    <w:rsid w:val="00605F52"/>
    <w:rsid w:val="0061266C"/>
    <w:rsid w:val="0061396B"/>
    <w:rsid w:val="0062150E"/>
    <w:rsid w:val="00622618"/>
    <w:rsid w:val="0062483A"/>
    <w:rsid w:val="00624DFC"/>
    <w:rsid w:val="006303B9"/>
    <w:rsid w:val="00631729"/>
    <w:rsid w:val="006375FF"/>
    <w:rsid w:val="006401C8"/>
    <w:rsid w:val="00642C81"/>
    <w:rsid w:val="006450A0"/>
    <w:rsid w:val="006523B7"/>
    <w:rsid w:val="00656973"/>
    <w:rsid w:val="006579FA"/>
    <w:rsid w:val="00660739"/>
    <w:rsid w:val="00661CCF"/>
    <w:rsid w:val="00664BB5"/>
    <w:rsid w:val="00664C37"/>
    <w:rsid w:val="006659B2"/>
    <w:rsid w:val="00665D03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A025B"/>
    <w:rsid w:val="006A3167"/>
    <w:rsid w:val="006A5DC7"/>
    <w:rsid w:val="006A64E5"/>
    <w:rsid w:val="006B1119"/>
    <w:rsid w:val="006B225A"/>
    <w:rsid w:val="006B29C0"/>
    <w:rsid w:val="006B614E"/>
    <w:rsid w:val="006B7027"/>
    <w:rsid w:val="006C487F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E0111"/>
    <w:rsid w:val="006E1B87"/>
    <w:rsid w:val="006E2741"/>
    <w:rsid w:val="006E6E85"/>
    <w:rsid w:val="006E792C"/>
    <w:rsid w:val="006E7D70"/>
    <w:rsid w:val="006F01A7"/>
    <w:rsid w:val="006F2908"/>
    <w:rsid w:val="006F31C2"/>
    <w:rsid w:val="006F5CAD"/>
    <w:rsid w:val="0070070B"/>
    <w:rsid w:val="00700E4A"/>
    <w:rsid w:val="00701FC8"/>
    <w:rsid w:val="007026F1"/>
    <w:rsid w:val="00707D77"/>
    <w:rsid w:val="00712580"/>
    <w:rsid w:val="007142E1"/>
    <w:rsid w:val="007155A3"/>
    <w:rsid w:val="00717751"/>
    <w:rsid w:val="00722EAA"/>
    <w:rsid w:val="00723E61"/>
    <w:rsid w:val="007241BD"/>
    <w:rsid w:val="00730A44"/>
    <w:rsid w:val="007359CF"/>
    <w:rsid w:val="00735FC2"/>
    <w:rsid w:val="00736FFE"/>
    <w:rsid w:val="0074062A"/>
    <w:rsid w:val="00744618"/>
    <w:rsid w:val="00752A91"/>
    <w:rsid w:val="00754DB2"/>
    <w:rsid w:val="00756436"/>
    <w:rsid w:val="00756E3B"/>
    <w:rsid w:val="00756FA9"/>
    <w:rsid w:val="007577B1"/>
    <w:rsid w:val="007604D7"/>
    <w:rsid w:val="007620ED"/>
    <w:rsid w:val="00765542"/>
    <w:rsid w:val="00765F94"/>
    <w:rsid w:val="0077230C"/>
    <w:rsid w:val="007756B4"/>
    <w:rsid w:val="007762CA"/>
    <w:rsid w:val="00781A32"/>
    <w:rsid w:val="00781BA9"/>
    <w:rsid w:val="00782481"/>
    <w:rsid w:val="007833F0"/>
    <w:rsid w:val="00791D1B"/>
    <w:rsid w:val="00792729"/>
    <w:rsid w:val="007962C3"/>
    <w:rsid w:val="007A4F17"/>
    <w:rsid w:val="007A5258"/>
    <w:rsid w:val="007A581D"/>
    <w:rsid w:val="007B1128"/>
    <w:rsid w:val="007B38A0"/>
    <w:rsid w:val="007B3DA5"/>
    <w:rsid w:val="007B45F6"/>
    <w:rsid w:val="007B4CA5"/>
    <w:rsid w:val="007B53A2"/>
    <w:rsid w:val="007B655E"/>
    <w:rsid w:val="007B69A1"/>
    <w:rsid w:val="007C1758"/>
    <w:rsid w:val="007C370E"/>
    <w:rsid w:val="007C71FC"/>
    <w:rsid w:val="007C7CB6"/>
    <w:rsid w:val="007D108D"/>
    <w:rsid w:val="007D44E4"/>
    <w:rsid w:val="007D45A8"/>
    <w:rsid w:val="007D69F7"/>
    <w:rsid w:val="007E20CD"/>
    <w:rsid w:val="007E467C"/>
    <w:rsid w:val="007E473C"/>
    <w:rsid w:val="007E5F63"/>
    <w:rsid w:val="007E6AD0"/>
    <w:rsid w:val="007F0986"/>
    <w:rsid w:val="007F13BA"/>
    <w:rsid w:val="007F21F9"/>
    <w:rsid w:val="007F3662"/>
    <w:rsid w:val="007F5A23"/>
    <w:rsid w:val="007F7A6D"/>
    <w:rsid w:val="008009BE"/>
    <w:rsid w:val="00806E68"/>
    <w:rsid w:val="00807798"/>
    <w:rsid w:val="00810143"/>
    <w:rsid w:val="00810689"/>
    <w:rsid w:val="0081567D"/>
    <w:rsid w:val="008163E9"/>
    <w:rsid w:val="00821141"/>
    <w:rsid w:val="00821763"/>
    <w:rsid w:val="00822762"/>
    <w:rsid w:val="00824969"/>
    <w:rsid w:val="0083359B"/>
    <w:rsid w:val="00833B06"/>
    <w:rsid w:val="008351A1"/>
    <w:rsid w:val="008358B1"/>
    <w:rsid w:val="00837AE7"/>
    <w:rsid w:val="00841407"/>
    <w:rsid w:val="00841C44"/>
    <w:rsid w:val="00842AD8"/>
    <w:rsid w:val="00846349"/>
    <w:rsid w:val="0085093B"/>
    <w:rsid w:val="00851139"/>
    <w:rsid w:val="00851A34"/>
    <w:rsid w:val="00853461"/>
    <w:rsid w:val="00853AC2"/>
    <w:rsid w:val="008565CD"/>
    <w:rsid w:val="00856C8D"/>
    <w:rsid w:val="00860A4B"/>
    <w:rsid w:val="008613FE"/>
    <w:rsid w:val="00862219"/>
    <w:rsid w:val="008639D1"/>
    <w:rsid w:val="008641D5"/>
    <w:rsid w:val="00870134"/>
    <w:rsid w:val="00871B97"/>
    <w:rsid w:val="00873E01"/>
    <w:rsid w:val="00874885"/>
    <w:rsid w:val="0087526E"/>
    <w:rsid w:val="0087637B"/>
    <w:rsid w:val="00877490"/>
    <w:rsid w:val="00880B53"/>
    <w:rsid w:val="00884B65"/>
    <w:rsid w:val="00885285"/>
    <w:rsid w:val="00885D4B"/>
    <w:rsid w:val="00891B4F"/>
    <w:rsid w:val="00892BE6"/>
    <w:rsid w:val="008949EC"/>
    <w:rsid w:val="00895794"/>
    <w:rsid w:val="008957E7"/>
    <w:rsid w:val="00896254"/>
    <w:rsid w:val="0089697B"/>
    <w:rsid w:val="008A06F5"/>
    <w:rsid w:val="008A4905"/>
    <w:rsid w:val="008B0359"/>
    <w:rsid w:val="008B69A6"/>
    <w:rsid w:val="008B7D32"/>
    <w:rsid w:val="008C3067"/>
    <w:rsid w:val="008C4FAF"/>
    <w:rsid w:val="008D141E"/>
    <w:rsid w:val="008D2EF7"/>
    <w:rsid w:val="008D4B31"/>
    <w:rsid w:val="008D4C03"/>
    <w:rsid w:val="008E1335"/>
    <w:rsid w:val="008E1843"/>
    <w:rsid w:val="008E1EE4"/>
    <w:rsid w:val="008E5692"/>
    <w:rsid w:val="008F06B2"/>
    <w:rsid w:val="008F0C35"/>
    <w:rsid w:val="008F0EBB"/>
    <w:rsid w:val="008F12E0"/>
    <w:rsid w:val="008F5F73"/>
    <w:rsid w:val="008F7849"/>
    <w:rsid w:val="008F7E51"/>
    <w:rsid w:val="00913E50"/>
    <w:rsid w:val="00922C74"/>
    <w:rsid w:val="00923AAD"/>
    <w:rsid w:val="00932FEA"/>
    <w:rsid w:val="00933C83"/>
    <w:rsid w:val="0093451A"/>
    <w:rsid w:val="009350D2"/>
    <w:rsid w:val="0093558C"/>
    <w:rsid w:val="00936AAB"/>
    <w:rsid w:val="00941458"/>
    <w:rsid w:val="009420D4"/>
    <w:rsid w:val="00942BF8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5058"/>
    <w:rsid w:val="0096565E"/>
    <w:rsid w:val="00971640"/>
    <w:rsid w:val="00974B11"/>
    <w:rsid w:val="00974ECE"/>
    <w:rsid w:val="00977324"/>
    <w:rsid w:val="0097761F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491"/>
    <w:rsid w:val="00993BDC"/>
    <w:rsid w:val="00995205"/>
    <w:rsid w:val="009953F6"/>
    <w:rsid w:val="0099598E"/>
    <w:rsid w:val="009A0C03"/>
    <w:rsid w:val="009A453F"/>
    <w:rsid w:val="009B1AE4"/>
    <w:rsid w:val="009B1B3C"/>
    <w:rsid w:val="009B530C"/>
    <w:rsid w:val="009C2616"/>
    <w:rsid w:val="009C4240"/>
    <w:rsid w:val="009D2D9D"/>
    <w:rsid w:val="009D343B"/>
    <w:rsid w:val="009D34BB"/>
    <w:rsid w:val="009D4C04"/>
    <w:rsid w:val="009D4C3F"/>
    <w:rsid w:val="009E03CA"/>
    <w:rsid w:val="009E26B5"/>
    <w:rsid w:val="009E30B8"/>
    <w:rsid w:val="009E3AE8"/>
    <w:rsid w:val="009E4D25"/>
    <w:rsid w:val="009E527F"/>
    <w:rsid w:val="009E581E"/>
    <w:rsid w:val="009E684B"/>
    <w:rsid w:val="009E7740"/>
    <w:rsid w:val="009E789F"/>
    <w:rsid w:val="009F3B27"/>
    <w:rsid w:val="009F6959"/>
    <w:rsid w:val="009F7054"/>
    <w:rsid w:val="00A00152"/>
    <w:rsid w:val="00A04D77"/>
    <w:rsid w:val="00A05FDD"/>
    <w:rsid w:val="00A12C81"/>
    <w:rsid w:val="00A12ED1"/>
    <w:rsid w:val="00A16560"/>
    <w:rsid w:val="00A17630"/>
    <w:rsid w:val="00A2095D"/>
    <w:rsid w:val="00A21A15"/>
    <w:rsid w:val="00A237CF"/>
    <w:rsid w:val="00A23ACF"/>
    <w:rsid w:val="00A24034"/>
    <w:rsid w:val="00A2618B"/>
    <w:rsid w:val="00A313DB"/>
    <w:rsid w:val="00A3213D"/>
    <w:rsid w:val="00A32D46"/>
    <w:rsid w:val="00A33AF2"/>
    <w:rsid w:val="00A3517A"/>
    <w:rsid w:val="00A35454"/>
    <w:rsid w:val="00A35B75"/>
    <w:rsid w:val="00A41BC4"/>
    <w:rsid w:val="00A430BC"/>
    <w:rsid w:val="00A54934"/>
    <w:rsid w:val="00A56F92"/>
    <w:rsid w:val="00A56FD3"/>
    <w:rsid w:val="00A618D4"/>
    <w:rsid w:val="00A61B31"/>
    <w:rsid w:val="00A62B8A"/>
    <w:rsid w:val="00A650F1"/>
    <w:rsid w:val="00A66121"/>
    <w:rsid w:val="00A6737E"/>
    <w:rsid w:val="00A67F8F"/>
    <w:rsid w:val="00A71FC2"/>
    <w:rsid w:val="00A71FF5"/>
    <w:rsid w:val="00A730B6"/>
    <w:rsid w:val="00A7407D"/>
    <w:rsid w:val="00A7475B"/>
    <w:rsid w:val="00A76BBB"/>
    <w:rsid w:val="00A80D44"/>
    <w:rsid w:val="00A81EBB"/>
    <w:rsid w:val="00A82219"/>
    <w:rsid w:val="00A82D5C"/>
    <w:rsid w:val="00A837D7"/>
    <w:rsid w:val="00A86EDE"/>
    <w:rsid w:val="00A870A7"/>
    <w:rsid w:val="00A8756E"/>
    <w:rsid w:val="00A90BF5"/>
    <w:rsid w:val="00A923BB"/>
    <w:rsid w:val="00A92C82"/>
    <w:rsid w:val="00A94F28"/>
    <w:rsid w:val="00A97250"/>
    <w:rsid w:val="00AA2399"/>
    <w:rsid w:val="00AA45F1"/>
    <w:rsid w:val="00AB1381"/>
    <w:rsid w:val="00AB2847"/>
    <w:rsid w:val="00AB7F30"/>
    <w:rsid w:val="00AC19E5"/>
    <w:rsid w:val="00AC6461"/>
    <w:rsid w:val="00AD2FB4"/>
    <w:rsid w:val="00AD511D"/>
    <w:rsid w:val="00AD522F"/>
    <w:rsid w:val="00AD6512"/>
    <w:rsid w:val="00AE2CC1"/>
    <w:rsid w:val="00AE2F5C"/>
    <w:rsid w:val="00AE796F"/>
    <w:rsid w:val="00AF1550"/>
    <w:rsid w:val="00AF61C9"/>
    <w:rsid w:val="00B00789"/>
    <w:rsid w:val="00B0787B"/>
    <w:rsid w:val="00B10DC2"/>
    <w:rsid w:val="00B11D70"/>
    <w:rsid w:val="00B16645"/>
    <w:rsid w:val="00B16660"/>
    <w:rsid w:val="00B16D88"/>
    <w:rsid w:val="00B172FD"/>
    <w:rsid w:val="00B21CEF"/>
    <w:rsid w:val="00B30962"/>
    <w:rsid w:val="00B30D38"/>
    <w:rsid w:val="00B316BF"/>
    <w:rsid w:val="00B3385F"/>
    <w:rsid w:val="00B348CC"/>
    <w:rsid w:val="00B34B4D"/>
    <w:rsid w:val="00B3764A"/>
    <w:rsid w:val="00B43AD3"/>
    <w:rsid w:val="00B43FFC"/>
    <w:rsid w:val="00B5113F"/>
    <w:rsid w:val="00B515F6"/>
    <w:rsid w:val="00B5168E"/>
    <w:rsid w:val="00B539F0"/>
    <w:rsid w:val="00B54C9B"/>
    <w:rsid w:val="00B56B7E"/>
    <w:rsid w:val="00B573A2"/>
    <w:rsid w:val="00B57624"/>
    <w:rsid w:val="00B62C5F"/>
    <w:rsid w:val="00B6709C"/>
    <w:rsid w:val="00B71319"/>
    <w:rsid w:val="00B717B5"/>
    <w:rsid w:val="00B73B1D"/>
    <w:rsid w:val="00B764F0"/>
    <w:rsid w:val="00B76744"/>
    <w:rsid w:val="00B81245"/>
    <w:rsid w:val="00B81B41"/>
    <w:rsid w:val="00B838DC"/>
    <w:rsid w:val="00B84426"/>
    <w:rsid w:val="00B85F35"/>
    <w:rsid w:val="00B87C8B"/>
    <w:rsid w:val="00B92A5A"/>
    <w:rsid w:val="00B95119"/>
    <w:rsid w:val="00B978FA"/>
    <w:rsid w:val="00BA01E5"/>
    <w:rsid w:val="00BA1381"/>
    <w:rsid w:val="00BA204D"/>
    <w:rsid w:val="00BA2E65"/>
    <w:rsid w:val="00BA5B67"/>
    <w:rsid w:val="00BA7979"/>
    <w:rsid w:val="00BB00A2"/>
    <w:rsid w:val="00BB2DDA"/>
    <w:rsid w:val="00BC0BC5"/>
    <w:rsid w:val="00BC19D9"/>
    <w:rsid w:val="00BC1B4F"/>
    <w:rsid w:val="00BC31FF"/>
    <w:rsid w:val="00BC5B69"/>
    <w:rsid w:val="00BC5BC0"/>
    <w:rsid w:val="00BC679D"/>
    <w:rsid w:val="00BD1B2F"/>
    <w:rsid w:val="00BD2ECB"/>
    <w:rsid w:val="00BD532E"/>
    <w:rsid w:val="00BD6313"/>
    <w:rsid w:val="00BE18A8"/>
    <w:rsid w:val="00BE29C3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C02D60"/>
    <w:rsid w:val="00C12555"/>
    <w:rsid w:val="00C15055"/>
    <w:rsid w:val="00C16BA9"/>
    <w:rsid w:val="00C16C40"/>
    <w:rsid w:val="00C260DB"/>
    <w:rsid w:val="00C3154D"/>
    <w:rsid w:val="00C32706"/>
    <w:rsid w:val="00C400EF"/>
    <w:rsid w:val="00C43315"/>
    <w:rsid w:val="00C4551E"/>
    <w:rsid w:val="00C50641"/>
    <w:rsid w:val="00C50F47"/>
    <w:rsid w:val="00C5143E"/>
    <w:rsid w:val="00C56705"/>
    <w:rsid w:val="00C567AD"/>
    <w:rsid w:val="00C57295"/>
    <w:rsid w:val="00C5729A"/>
    <w:rsid w:val="00C57670"/>
    <w:rsid w:val="00C61D0C"/>
    <w:rsid w:val="00C64604"/>
    <w:rsid w:val="00C70327"/>
    <w:rsid w:val="00C7050C"/>
    <w:rsid w:val="00C72DE2"/>
    <w:rsid w:val="00C765AF"/>
    <w:rsid w:val="00C80DF7"/>
    <w:rsid w:val="00C81B62"/>
    <w:rsid w:val="00C82860"/>
    <w:rsid w:val="00C8473A"/>
    <w:rsid w:val="00C8503A"/>
    <w:rsid w:val="00C86DAD"/>
    <w:rsid w:val="00C8787A"/>
    <w:rsid w:val="00C91386"/>
    <w:rsid w:val="00C91F23"/>
    <w:rsid w:val="00C924C9"/>
    <w:rsid w:val="00C927EF"/>
    <w:rsid w:val="00C93D35"/>
    <w:rsid w:val="00C94D6D"/>
    <w:rsid w:val="00C97EB0"/>
    <w:rsid w:val="00CA20B8"/>
    <w:rsid w:val="00CA490E"/>
    <w:rsid w:val="00CA659E"/>
    <w:rsid w:val="00CA6FA4"/>
    <w:rsid w:val="00CA751D"/>
    <w:rsid w:val="00CA789E"/>
    <w:rsid w:val="00CB0AF7"/>
    <w:rsid w:val="00CB0BBB"/>
    <w:rsid w:val="00CB254F"/>
    <w:rsid w:val="00CB26B4"/>
    <w:rsid w:val="00CB2A5A"/>
    <w:rsid w:val="00CB4A57"/>
    <w:rsid w:val="00CB59E4"/>
    <w:rsid w:val="00CB67C4"/>
    <w:rsid w:val="00CB6B69"/>
    <w:rsid w:val="00CB6C2C"/>
    <w:rsid w:val="00CB77ED"/>
    <w:rsid w:val="00CC05C3"/>
    <w:rsid w:val="00CC2CD2"/>
    <w:rsid w:val="00CC6A15"/>
    <w:rsid w:val="00CD28B9"/>
    <w:rsid w:val="00CD7610"/>
    <w:rsid w:val="00CE0AEB"/>
    <w:rsid w:val="00CE2E84"/>
    <w:rsid w:val="00CE794E"/>
    <w:rsid w:val="00CF2C28"/>
    <w:rsid w:val="00CF330D"/>
    <w:rsid w:val="00CF4E9C"/>
    <w:rsid w:val="00CF7531"/>
    <w:rsid w:val="00D001A2"/>
    <w:rsid w:val="00D00FA1"/>
    <w:rsid w:val="00D0264D"/>
    <w:rsid w:val="00D02FB9"/>
    <w:rsid w:val="00D03F6F"/>
    <w:rsid w:val="00D102E4"/>
    <w:rsid w:val="00D12FE3"/>
    <w:rsid w:val="00D13A87"/>
    <w:rsid w:val="00D1561C"/>
    <w:rsid w:val="00D158E1"/>
    <w:rsid w:val="00D159B5"/>
    <w:rsid w:val="00D178C5"/>
    <w:rsid w:val="00D242AC"/>
    <w:rsid w:val="00D24347"/>
    <w:rsid w:val="00D24D5A"/>
    <w:rsid w:val="00D255AD"/>
    <w:rsid w:val="00D25D90"/>
    <w:rsid w:val="00D26515"/>
    <w:rsid w:val="00D27F9E"/>
    <w:rsid w:val="00D27FE6"/>
    <w:rsid w:val="00D414FB"/>
    <w:rsid w:val="00D41B17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3840"/>
    <w:rsid w:val="00D65979"/>
    <w:rsid w:val="00D65CB4"/>
    <w:rsid w:val="00D66CB7"/>
    <w:rsid w:val="00D71D80"/>
    <w:rsid w:val="00D75E31"/>
    <w:rsid w:val="00D80603"/>
    <w:rsid w:val="00D8132A"/>
    <w:rsid w:val="00D82B10"/>
    <w:rsid w:val="00D82B58"/>
    <w:rsid w:val="00D870B8"/>
    <w:rsid w:val="00D9012F"/>
    <w:rsid w:val="00D95CF7"/>
    <w:rsid w:val="00D96222"/>
    <w:rsid w:val="00DA0C2B"/>
    <w:rsid w:val="00DA3AAD"/>
    <w:rsid w:val="00DA7364"/>
    <w:rsid w:val="00DA7FB7"/>
    <w:rsid w:val="00DB07E1"/>
    <w:rsid w:val="00DB1BFF"/>
    <w:rsid w:val="00DB3C89"/>
    <w:rsid w:val="00DB40C7"/>
    <w:rsid w:val="00DB46DC"/>
    <w:rsid w:val="00DB4868"/>
    <w:rsid w:val="00DB77BE"/>
    <w:rsid w:val="00DC37CC"/>
    <w:rsid w:val="00DC3B75"/>
    <w:rsid w:val="00DC3D95"/>
    <w:rsid w:val="00DC7FB9"/>
    <w:rsid w:val="00DD07B1"/>
    <w:rsid w:val="00DD17A9"/>
    <w:rsid w:val="00DD1A43"/>
    <w:rsid w:val="00DD2DFD"/>
    <w:rsid w:val="00DD54BE"/>
    <w:rsid w:val="00DD7941"/>
    <w:rsid w:val="00DD795A"/>
    <w:rsid w:val="00DE4D71"/>
    <w:rsid w:val="00DE51A6"/>
    <w:rsid w:val="00DE5285"/>
    <w:rsid w:val="00DE66AD"/>
    <w:rsid w:val="00DE6B36"/>
    <w:rsid w:val="00DF0AA0"/>
    <w:rsid w:val="00DF19E5"/>
    <w:rsid w:val="00DF1C4D"/>
    <w:rsid w:val="00DF289C"/>
    <w:rsid w:val="00DF4559"/>
    <w:rsid w:val="00DF582C"/>
    <w:rsid w:val="00E01C43"/>
    <w:rsid w:val="00E01DCD"/>
    <w:rsid w:val="00E02D09"/>
    <w:rsid w:val="00E05D14"/>
    <w:rsid w:val="00E05FE9"/>
    <w:rsid w:val="00E11DF7"/>
    <w:rsid w:val="00E1294B"/>
    <w:rsid w:val="00E13706"/>
    <w:rsid w:val="00E2031F"/>
    <w:rsid w:val="00E22663"/>
    <w:rsid w:val="00E26BD6"/>
    <w:rsid w:val="00E315D5"/>
    <w:rsid w:val="00E34AF5"/>
    <w:rsid w:val="00E34D4D"/>
    <w:rsid w:val="00E35314"/>
    <w:rsid w:val="00E406B4"/>
    <w:rsid w:val="00E41055"/>
    <w:rsid w:val="00E41502"/>
    <w:rsid w:val="00E441B4"/>
    <w:rsid w:val="00E44833"/>
    <w:rsid w:val="00E51927"/>
    <w:rsid w:val="00E56AC2"/>
    <w:rsid w:val="00E57795"/>
    <w:rsid w:val="00E60B4F"/>
    <w:rsid w:val="00E652D9"/>
    <w:rsid w:val="00E704A7"/>
    <w:rsid w:val="00E70613"/>
    <w:rsid w:val="00E73A4E"/>
    <w:rsid w:val="00E74181"/>
    <w:rsid w:val="00E74BB5"/>
    <w:rsid w:val="00E75F53"/>
    <w:rsid w:val="00E81317"/>
    <w:rsid w:val="00E817D2"/>
    <w:rsid w:val="00E87BEC"/>
    <w:rsid w:val="00E9008D"/>
    <w:rsid w:val="00E91966"/>
    <w:rsid w:val="00EA693F"/>
    <w:rsid w:val="00EA71AE"/>
    <w:rsid w:val="00EB137F"/>
    <w:rsid w:val="00EC0C54"/>
    <w:rsid w:val="00EC5CE7"/>
    <w:rsid w:val="00EC7E87"/>
    <w:rsid w:val="00ED1EEF"/>
    <w:rsid w:val="00ED2184"/>
    <w:rsid w:val="00ED2CDF"/>
    <w:rsid w:val="00ED76A8"/>
    <w:rsid w:val="00ED78CB"/>
    <w:rsid w:val="00ED7AEF"/>
    <w:rsid w:val="00EE0265"/>
    <w:rsid w:val="00EE21EB"/>
    <w:rsid w:val="00EE391F"/>
    <w:rsid w:val="00EE6B31"/>
    <w:rsid w:val="00EF2598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0B21"/>
    <w:rsid w:val="00F21865"/>
    <w:rsid w:val="00F24419"/>
    <w:rsid w:val="00F25FBA"/>
    <w:rsid w:val="00F25FCE"/>
    <w:rsid w:val="00F2623B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1EAE"/>
    <w:rsid w:val="00F430C5"/>
    <w:rsid w:val="00F43B00"/>
    <w:rsid w:val="00F44167"/>
    <w:rsid w:val="00F44A26"/>
    <w:rsid w:val="00F4722C"/>
    <w:rsid w:val="00F5108E"/>
    <w:rsid w:val="00F522EA"/>
    <w:rsid w:val="00F52AD2"/>
    <w:rsid w:val="00F5401B"/>
    <w:rsid w:val="00F5426B"/>
    <w:rsid w:val="00F54967"/>
    <w:rsid w:val="00F56054"/>
    <w:rsid w:val="00F62B25"/>
    <w:rsid w:val="00F63DC3"/>
    <w:rsid w:val="00F67884"/>
    <w:rsid w:val="00F723AA"/>
    <w:rsid w:val="00F754C8"/>
    <w:rsid w:val="00F76658"/>
    <w:rsid w:val="00F82BAE"/>
    <w:rsid w:val="00F84B70"/>
    <w:rsid w:val="00F85B65"/>
    <w:rsid w:val="00F875D0"/>
    <w:rsid w:val="00F9458E"/>
    <w:rsid w:val="00F94F71"/>
    <w:rsid w:val="00FA0BB8"/>
    <w:rsid w:val="00FA0CBB"/>
    <w:rsid w:val="00FA135B"/>
    <w:rsid w:val="00FA1DFE"/>
    <w:rsid w:val="00FA3072"/>
    <w:rsid w:val="00FA4AB7"/>
    <w:rsid w:val="00FA7147"/>
    <w:rsid w:val="00FB06A4"/>
    <w:rsid w:val="00FB39AB"/>
    <w:rsid w:val="00FB5264"/>
    <w:rsid w:val="00FB69B9"/>
    <w:rsid w:val="00FC2E8A"/>
    <w:rsid w:val="00FC3A55"/>
    <w:rsid w:val="00FC5212"/>
    <w:rsid w:val="00FC521B"/>
    <w:rsid w:val="00FC529B"/>
    <w:rsid w:val="00FC73E8"/>
    <w:rsid w:val="00FD0494"/>
    <w:rsid w:val="00FD1387"/>
    <w:rsid w:val="00FD4F56"/>
    <w:rsid w:val="00FD5ED6"/>
    <w:rsid w:val="00FE2277"/>
    <w:rsid w:val="00FE4E28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B7223556-FD7C-4766-B433-D58D907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F1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rFonts w:eastAsiaTheme="minorEastAsia"/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rFonts w:eastAsiaTheme="minorEastAsia"/>
      <w:lang w:eastAsia="gl-ES"/>
    </w:r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E05D14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ED6E00"/>
      <w:spacing w:val="-8"/>
      <w:position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2.vsdx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hyperlink" Target="file:///C:\Users\calidad21\Documents\z_JM\TS%20Calidade\Normas\4%20NORMAS%20+%20FORMS\Normes\Espagne\Documents\Mode-op\QUA\EGPE01QUA001-06%20Anexo%2001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753200" y="3145092"/>
          <a:ext cx="1402810" cy="511689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Tratamento das QSP</a:t>
          </a:r>
        </a:p>
        <a:p>
          <a:r>
            <a:rPr lang="gl-ES" sz="800" b="0" dirty="0" smtClean="0"/>
            <a:t>Modos de presentación, recollida, rexistro, transmisión ás persoas implicadas, análise, resposta, resolución e seguimento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62881" y="54709"/>
          <a:ext cx="1104596" cy="4053763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/>
            <a:t>Grupos de interese ou usarios/as internos (estudiantes, PAS, PDI...)</a:t>
          </a:r>
        </a:p>
        <a:p>
          <a:pPr algn="l"/>
          <a:r>
            <a:rPr lang="es-ES" sz="800" b="1" dirty="0" smtClean="0"/>
            <a:t>Grupos de interese ou usarios/as externos (egresados/as, empresas, empregadores...)</a:t>
          </a:r>
        </a:p>
        <a:p>
          <a:pPr algn="r"/>
          <a:r>
            <a:rPr lang="es-ES" sz="800" dirty="0" smtClean="0"/>
            <a:t>Necesidades e/ou expectativas de expresión de satisfacción, insatisfacción e/ou recomendación (QSP).</a:t>
          </a:r>
        </a:p>
        <a:p>
          <a:pPr algn="r"/>
          <a:r>
            <a:rPr lang="es-ES" sz="800" dirty="0" smtClean="0"/>
            <a:t>Participación na calidade</a:t>
          </a:r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</a:t>
          </a:r>
        </a:p>
        <a:p>
          <a:pPr algn="r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rendemento de contas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088521" y="1842157"/>
          <a:ext cx="2524763" cy="237584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18172" y="51795"/>
          <a:ext cx="1104596" cy="4171346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algn="l"/>
          <a:r>
            <a:rPr lang="es-ES" sz="800" dirty="0" smtClean="0"/>
            <a:t>Desenvolvemento dos centros e titulacións </a:t>
          </a:r>
        </a:p>
        <a:p>
          <a:pPr algn="l"/>
          <a:r>
            <a:rPr lang="es-ES" sz="800" dirty="0" smtClean="0"/>
            <a:t>(Contribución ao) Incremento da satisfacción </a:t>
          </a:r>
        </a:p>
        <a:p>
          <a:pPr algn="l"/>
          <a:r>
            <a:rPr lang="es-ES" sz="800" dirty="0" smtClean="0"/>
            <a:t>Modos de tratamento das QSP eficaces</a:t>
          </a:r>
        </a:p>
        <a:p>
          <a:pPr algn="l"/>
          <a:r>
            <a:rPr lang="es-ES" sz="800" dirty="0" smtClean="0"/>
            <a:t>Mellora do funcionamento dos procesos</a:t>
          </a:r>
        </a:p>
        <a:p>
          <a:pPr algn="l"/>
          <a:r>
            <a:rPr lang="es-ES" sz="800" dirty="0"/>
            <a:t>Comunicación e participación</a:t>
          </a:r>
        </a:p>
        <a:p>
          <a:pPr algn="l"/>
          <a:r>
            <a:rPr lang="es-ES" sz="800" dirty="0"/>
            <a:t>Incremento da confianza na organización</a:t>
          </a:r>
          <a:endParaRPr lang="es-ES" sz="800" dirty="0" smtClean="0"/>
        </a:p>
        <a:p>
          <a:pPr algn="r"/>
          <a:r>
            <a:rPr lang="es-ES" sz="800" b="1" dirty="0" smtClean="0"/>
            <a:t>Axencias de Calidade Administración Organismos e institucións</a:t>
          </a:r>
        </a:p>
        <a:p>
          <a:pPr algn="l"/>
          <a:r>
            <a:rPr lang="es-ES" sz="800" baseline="0" dirty="0" smtClean="0"/>
            <a:t>Modos de funcionamiento definidos </a:t>
          </a:r>
        </a:p>
        <a:p>
          <a:pPr algn="l"/>
          <a:r>
            <a:rPr lang="es-ES" sz="800" baseline="0" dirty="0" smtClean="0"/>
            <a:t>Rexistros dispoñibles</a:t>
          </a:r>
        </a:p>
        <a:p>
          <a:pPr algn="r"/>
          <a:r>
            <a:rPr lang="es-ES" sz="800" b="1" baseline="0" dirty="0" smtClean="0"/>
            <a:t>Sociedade (en xeral, todos os grupos de interese)</a:t>
          </a:r>
        </a:p>
        <a:p>
          <a:pPr algn="r"/>
          <a:r>
            <a:rPr lang="es-ES" sz="800" baseline="0" dirty="0" smtClean="0"/>
            <a:t>Información pública e rendemento de contas</a:t>
          </a:r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51599" y="1853005"/>
          <a:ext cx="2331725" cy="21852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515952" y="345740"/>
          <a:ext cx="1270890" cy="38409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Plan Estratéxico da Universidade de Vigo</a:t>
          </a:r>
        </a:p>
        <a:p>
          <a:r>
            <a:rPr lang="es-ES" sz="800" b="1" dirty="0" smtClean="0"/>
            <a:t>Estratexia de centros e titulacións</a:t>
          </a:r>
          <a:endParaRPr lang="gl-ES" sz="8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75253" y="736561"/>
          <a:ext cx="3329951" cy="350503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692248" y="3235945"/>
          <a:ext cx="796214" cy="24905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/>
            <a:t>QSP tratadas</a:t>
          </a:r>
          <a:endParaRPr lang="es-ES" sz="800" b="1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13886" y="1553430"/>
          <a:ext cx="1415032" cy="531927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617966" y="2111385"/>
          <a:ext cx="1944150" cy="661125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521908" y="1038929"/>
          <a:ext cx="1086366" cy="650845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 de QSP</a:t>
          </a: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121877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145780" custRadScaleRad="99378" custRadScaleInc="-3730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40453" custRadScaleRad="125276" custRadScaleInc="-896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45835" custScaleY="46267" custRadScaleRad="158142" custRadScaleInc="36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40453" custRadScaleRad="113507" custRadScaleInc="-35046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49207" custRadScaleInc="-2557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77527" custScaleY="126808" custRadScaleRad="102033" custRadScaleInc="2637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53407" custRadScaleRad="40597" custRadScaleInc="-418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98115" custRadScaleRad="42615" custRadScaleInc="230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32793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06F9AB58-D3FE-423E-A2AB-A39BD9CF9627}" type="presOf" srcId="{FBE45AD7-DD31-49FA-B366-A2AC218AC74B}" destId="{EFC57911-84B8-48B8-987D-E4A6346D0FCB}" srcOrd="0" destOrd="0" presId="urn:microsoft.com/office/officeart/2005/8/layout/cycle3"/>
    <dgm:cxn modelId="{D63FDF6B-9913-4C45-BC8F-83D0F398115B}" type="presOf" srcId="{A171DF25-998F-49EA-8EAD-F71728DAB1CA}" destId="{7FB123E0-CFD9-40E1-9D97-4C7D701EC485}" srcOrd="0" destOrd="0" presId="urn:microsoft.com/office/officeart/2005/8/layout/cycle3"/>
    <dgm:cxn modelId="{457DC2BE-CBF5-42C1-9858-51E4407CA2F1}" type="presOf" srcId="{3C2C1BD5-B357-4D73-96D5-35A887E3EF02}" destId="{8D6040DE-17D8-49F3-A915-D29044DFB534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A450C8F2-62A4-474E-87D3-A8FB5E8A8ECC}" type="presOf" srcId="{3A3894BC-5DC6-4F74-BDCD-4D276899F2EA}" destId="{645FF909-54FB-4D7F-9419-E19E1B1629A0}" srcOrd="0" destOrd="0" presId="urn:microsoft.com/office/officeart/2005/8/layout/cycle3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634A9F35-BF48-4016-BD35-4226D8F1860F}" type="presOf" srcId="{B640D509-062B-4D73-888D-E9108DACDFB2}" destId="{BEEA5593-69D5-43CC-A3DA-B732586770D1}" srcOrd="0" destOrd="0" presId="urn:microsoft.com/office/officeart/2005/8/layout/cycle3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0212C60F-EA6D-490C-9F9F-821608CAA588}" type="presOf" srcId="{8186A98D-5478-4DDF-BE5B-2A12EE1F953D}" destId="{CB3FE62B-C73E-4D34-8112-B03D4601F43D}" srcOrd="0" destOrd="0" presId="urn:microsoft.com/office/officeart/2005/8/layout/cycle3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A70F0D4F-FA48-40B7-A5BD-08F02F5F91F0}" type="presOf" srcId="{EDC6FE82-C607-4D3F-ADE1-B40105F09FFB}" destId="{86BA7024-79E5-4F66-8473-89C108F176F4}" srcOrd="0" destOrd="0" presId="urn:microsoft.com/office/officeart/2005/8/layout/cycle3"/>
    <dgm:cxn modelId="{97F05A71-4052-4715-B797-F5DEB98D9275}" type="presOf" srcId="{EC654BA4-577B-4990-8437-2CAE865B62E7}" destId="{7B34D873-FB69-4BE6-9327-499F48D0B869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D86B799B-6C3B-4BFD-AA63-AE7F82323358}" type="presOf" srcId="{D895BA6B-DDC1-41AC-9425-80AF81B0783B}" destId="{A5C3C4E6-613D-46A8-8B9F-2522AFDDF7C8}" srcOrd="0" destOrd="0" presId="urn:microsoft.com/office/officeart/2005/8/layout/cycle3"/>
    <dgm:cxn modelId="{CE21E19A-0230-4D5D-8E37-3C8EBF40687D}" type="presOf" srcId="{164EDA8F-B004-4130-AFE5-E24B3EC43B97}" destId="{2293AD92-B3A2-4DC0-8113-9A14A1BF0832}" srcOrd="0" destOrd="0" presId="urn:microsoft.com/office/officeart/2005/8/layout/cycle3"/>
    <dgm:cxn modelId="{19396E64-992C-41AE-B62A-DF030623EAF0}" type="presOf" srcId="{66F2CFCA-DC3A-4C3D-8085-CADEFF7191A5}" destId="{F6D18DB1-F45B-4417-A97F-A7DE9DC823BE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35935BE7-E486-4C42-8D64-9158F649166C}" type="presOf" srcId="{C6E23B86-E7E9-452F-A4E7-00BB99A501AA}" destId="{17B53C54-BA67-46C8-83A8-56EA565774F5}" srcOrd="0" destOrd="0" presId="urn:microsoft.com/office/officeart/2005/8/layout/cycle3"/>
    <dgm:cxn modelId="{8169A69E-4427-4C27-BB53-5FC0254A7591}" type="presParOf" srcId="{A5C3C4E6-613D-46A8-8B9F-2522AFDDF7C8}" destId="{DFA9AEFE-992D-4B78-B110-3024BF395A16}" srcOrd="0" destOrd="0" presId="urn:microsoft.com/office/officeart/2005/8/layout/cycle3"/>
    <dgm:cxn modelId="{8EA89C4D-0324-44DE-A8AE-8FC526BAFA51}" type="presParOf" srcId="{DFA9AEFE-992D-4B78-B110-3024BF395A16}" destId="{645FF909-54FB-4D7F-9419-E19E1B1629A0}" srcOrd="0" destOrd="0" presId="urn:microsoft.com/office/officeart/2005/8/layout/cycle3"/>
    <dgm:cxn modelId="{7849B572-BD50-4CF5-B3B1-8D6AB8FCBA69}" type="presParOf" srcId="{DFA9AEFE-992D-4B78-B110-3024BF395A16}" destId="{8D6040DE-17D8-49F3-A915-D29044DFB534}" srcOrd="1" destOrd="0" presId="urn:microsoft.com/office/officeart/2005/8/layout/cycle3"/>
    <dgm:cxn modelId="{F1398BA4-EE6E-4B7D-9382-901CB575B494}" type="presParOf" srcId="{DFA9AEFE-992D-4B78-B110-3024BF395A16}" destId="{2293AD92-B3A2-4DC0-8113-9A14A1BF0832}" srcOrd="2" destOrd="0" presId="urn:microsoft.com/office/officeart/2005/8/layout/cycle3"/>
    <dgm:cxn modelId="{7AF8FEEC-A7CE-4DB6-8552-8E69962108D4}" type="presParOf" srcId="{DFA9AEFE-992D-4B78-B110-3024BF395A16}" destId="{EFC57911-84B8-48B8-987D-E4A6346D0FCB}" srcOrd="3" destOrd="0" presId="urn:microsoft.com/office/officeart/2005/8/layout/cycle3"/>
    <dgm:cxn modelId="{50D7BB7A-F7BA-4158-9334-E400FC260F74}" type="presParOf" srcId="{DFA9AEFE-992D-4B78-B110-3024BF395A16}" destId="{86BA7024-79E5-4F66-8473-89C108F176F4}" srcOrd="4" destOrd="0" presId="urn:microsoft.com/office/officeart/2005/8/layout/cycle3"/>
    <dgm:cxn modelId="{C7D83D9A-6B28-4052-BFBB-CA2B2B3BC658}" type="presParOf" srcId="{DFA9AEFE-992D-4B78-B110-3024BF395A16}" destId="{17B53C54-BA67-46C8-83A8-56EA565774F5}" srcOrd="5" destOrd="0" presId="urn:microsoft.com/office/officeart/2005/8/layout/cycle3"/>
    <dgm:cxn modelId="{E2911E27-96B5-48BD-A68C-73172D85833D}" type="presParOf" srcId="{DFA9AEFE-992D-4B78-B110-3024BF395A16}" destId="{F6D18DB1-F45B-4417-A97F-A7DE9DC823BE}" srcOrd="6" destOrd="0" presId="urn:microsoft.com/office/officeart/2005/8/layout/cycle3"/>
    <dgm:cxn modelId="{021F6DC6-9053-4806-A5FB-D94CE42DBCA8}" type="presParOf" srcId="{DFA9AEFE-992D-4B78-B110-3024BF395A16}" destId="{7FB123E0-CFD9-40E1-9D97-4C7D701EC485}" srcOrd="7" destOrd="0" presId="urn:microsoft.com/office/officeart/2005/8/layout/cycle3"/>
    <dgm:cxn modelId="{BFACA247-FFAE-437D-9DF5-72C760A48C34}" type="presParOf" srcId="{DFA9AEFE-992D-4B78-B110-3024BF395A16}" destId="{BEEA5593-69D5-43CC-A3DA-B732586770D1}" srcOrd="8" destOrd="0" presId="urn:microsoft.com/office/officeart/2005/8/layout/cycle3"/>
    <dgm:cxn modelId="{306DF966-43A3-4A40-A920-68BFF4F48011}" type="presParOf" srcId="{DFA9AEFE-992D-4B78-B110-3024BF395A16}" destId="{7B34D873-FB69-4BE6-9327-499F48D0B869}" srcOrd="9" destOrd="0" presId="urn:microsoft.com/office/officeart/2005/8/layout/cycle3"/>
    <dgm:cxn modelId="{BD082A8D-A447-43C2-AA19-A39B780318B8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359969" y="822589"/>
          <a:ext cx="3578644" cy="3766808"/>
        </a:xfrm>
        <a:prstGeom prst="leftCircularArrow">
          <a:avLst>
            <a:gd name="adj1" fmla="val 5544"/>
            <a:gd name="adj2" fmla="val 330680"/>
            <a:gd name="adj3" fmla="val 17768475"/>
            <a:gd name="adj4" fmla="val 15515710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480323" y="272971"/>
          <a:ext cx="1361941" cy="670685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Plan Estratéxico da Universidade de Vigo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Estratexia de centros e titulacións</a:t>
          </a:r>
          <a:endParaRPr lang="gl-ES" sz="8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13063" y="305711"/>
        <a:ext cx="1296461" cy="605205"/>
      </dsp:txXfrm>
    </dsp:sp>
    <dsp:sp modelId="{2293AD92-B3A2-4DC0-8113-9A14A1BF0832}">
      <dsp:nvSpPr>
        <dsp:cNvPr id="0" name=""/>
        <dsp:cNvSpPr/>
      </dsp:nvSpPr>
      <dsp:spPr>
        <a:xfrm>
          <a:off x="1660806" y="3284183"/>
          <a:ext cx="1503313" cy="80222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Tratamento das QSP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0" kern="1200" dirty="0" smtClean="0"/>
            <a:t>Modos de presentación, recollida, rexistro, transmisión ás persoas implicadas, análise, resposta, resolución e seguimento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99967" y="3323344"/>
        <a:ext cx="1424991" cy="723901"/>
      </dsp:txXfrm>
    </dsp:sp>
    <dsp:sp modelId="{EFC57911-84B8-48B8-987D-E4A6346D0FCB}">
      <dsp:nvSpPr>
        <dsp:cNvPr id="0" name=""/>
        <dsp:cNvSpPr/>
      </dsp:nvSpPr>
      <dsp:spPr>
        <a:xfrm>
          <a:off x="72423" y="-4705"/>
          <a:ext cx="1183733" cy="4624989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Grupos de interese ou usarios/as internos (estudiantes, PAS, PDI...)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Grupos de interese ou usarios/as externos (egresados/as, empresas, empregadores...)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Necesidades e/ou expectativas de expresión de satisfacción, insatisfacción e/ou recomendación (QSP).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Participación na calidade</a:t>
          </a: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 Administración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Esixencias legais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Dispoñibilidade dos documentos (avaluación, acreditación, certificación,...)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Obxectivos da formación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 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rendemento de contas</a:t>
          </a:r>
        </a:p>
      </dsp:txBody>
      <dsp:txXfrm>
        <a:off x="130208" y="53080"/>
        <a:ext cx="1068163" cy="4509419"/>
      </dsp:txXfrm>
    </dsp:sp>
    <dsp:sp modelId="{86BA7024-79E5-4F66-8473-89C108F176F4}">
      <dsp:nvSpPr>
        <dsp:cNvPr id="0" name=""/>
        <dsp:cNvSpPr/>
      </dsp:nvSpPr>
      <dsp:spPr>
        <a:xfrm rot="16200000">
          <a:off x="-1225520" y="2010461"/>
          <a:ext cx="2705646" cy="254606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</a:t>
          </a: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213091" y="2022890"/>
        <a:ext cx="2680788" cy="229748"/>
      </dsp:txXfrm>
    </dsp:sp>
    <dsp:sp modelId="{17B53C54-BA67-46C8-83A8-56EA565774F5}">
      <dsp:nvSpPr>
        <dsp:cNvPr id="0" name=""/>
        <dsp:cNvSpPr/>
      </dsp:nvSpPr>
      <dsp:spPr>
        <a:xfrm>
          <a:off x="4843051" y="0"/>
          <a:ext cx="1183733" cy="4624989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áreas,..., órganos institucionais)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Desenvolvemento dos centros e titulacións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(Contribución ao) Incremento da satisfacción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Modos de tratamento das QSP eficaces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/>
            <a:t>Mellora do funcionamento dos procesos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Comunicación e participación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/>
            <a:t>Incremento da confianza na organización</a:t>
          </a:r>
          <a:endParaRPr lang="es-ES" sz="800" kern="1200" dirty="0" smtClean="0"/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Axencias de Calidade Administración Organismos e institucións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Modos de funcionamiento definidos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Rexistros dispoñibles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baseline="0" dirty="0" smtClean="0"/>
            <a:t>Sociedade (en xeral, todos os grupos de interese)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baseline="0" dirty="0" smtClean="0"/>
            <a:t>Información pública e rendemento de contas</a:t>
          </a: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900836" y="57785"/>
        <a:ext cx="1068163" cy="4509419"/>
      </dsp:txXfrm>
    </dsp:sp>
    <dsp:sp modelId="{F6D18DB1-F45B-4417-A97F-A7DE9DC823BE}">
      <dsp:nvSpPr>
        <dsp:cNvPr id="0" name=""/>
        <dsp:cNvSpPr/>
      </dsp:nvSpPr>
      <dsp:spPr>
        <a:xfrm rot="16200000">
          <a:off x="4660303" y="2022090"/>
          <a:ext cx="2498778" cy="234184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71735" y="2033522"/>
        <a:ext cx="2475914" cy="211320"/>
      </dsp:txXfrm>
    </dsp:sp>
    <dsp:sp modelId="{7FB123E0-CFD9-40E1-9D97-4C7D701EC485}">
      <dsp:nvSpPr>
        <dsp:cNvPr id="0" name=""/>
        <dsp:cNvSpPr/>
      </dsp:nvSpPr>
      <dsp:spPr>
        <a:xfrm>
          <a:off x="3698770" y="3304142"/>
          <a:ext cx="853257" cy="69782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/>
            <a:t>QSP tratadas</a:t>
          </a:r>
          <a:endParaRPr lang="es-ES" sz="800" b="1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32835" y="3338207"/>
        <a:ext cx="785127" cy="629690"/>
      </dsp:txXfrm>
    </dsp:sp>
    <dsp:sp modelId="{BEEA5593-69D5-43CC-A3DA-B732586770D1}">
      <dsp:nvSpPr>
        <dsp:cNvPr id="0" name=""/>
        <dsp:cNvSpPr/>
      </dsp:nvSpPr>
      <dsp:spPr>
        <a:xfrm>
          <a:off x="3236227" y="1720628"/>
          <a:ext cx="1516410" cy="293897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</a:t>
          </a:r>
        </a:p>
      </dsp:txBody>
      <dsp:txXfrm>
        <a:off x="3250574" y="1734975"/>
        <a:ext cx="1487716" cy="265203"/>
      </dsp:txXfrm>
    </dsp:sp>
    <dsp:sp modelId="{7B34D873-FB69-4BE6-9327-499F48D0B869}">
      <dsp:nvSpPr>
        <dsp:cNvPr id="0" name=""/>
        <dsp:cNvSpPr/>
      </dsp:nvSpPr>
      <dsp:spPr>
        <a:xfrm>
          <a:off x="2596611" y="1991521"/>
          <a:ext cx="2083436" cy="1090221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titulacións,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 grupos de interese (propostas, suxestións,...)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Utilización e/ou aplicación: experiencias, boas prácticas..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Indicadores de calidade (datos e resultados de centrros e titualcións...)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Documentos do SGIC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49831" y="2044741"/>
        <a:ext cx="1976996" cy="983781"/>
      </dsp:txXfrm>
    </dsp:sp>
    <dsp:sp modelId="{CB3FE62B-C73E-4D34-8112-B03D4601F43D}">
      <dsp:nvSpPr>
        <dsp:cNvPr id="0" name=""/>
        <dsp:cNvSpPr/>
      </dsp:nvSpPr>
      <dsp:spPr>
        <a:xfrm>
          <a:off x="1411760" y="1131231"/>
          <a:ext cx="1164197" cy="73075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Páxinas web (UVigo, centros e titulacións)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 de QSP</a:t>
          </a:r>
        </a:p>
      </dsp:txBody>
      <dsp:txXfrm>
        <a:off x="1447433" y="1166904"/>
        <a:ext cx="1092851" cy="659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FDB5-8861-4338-A5AB-50E9A955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14</Pages>
  <Words>2741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calidad21</cp:lastModifiedBy>
  <cp:revision>70</cp:revision>
  <cp:lastPrinted>2013-02-14T14:54:00Z</cp:lastPrinted>
  <dcterms:created xsi:type="dcterms:W3CDTF">2014-09-04T11:43:00Z</dcterms:created>
  <dcterms:modified xsi:type="dcterms:W3CDTF">2014-11-12T10:21:00Z</dcterms:modified>
</cp:coreProperties>
</file>